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36"/>
        </w:tabs>
        <w:jc w:val="center"/>
        <w:rPr>
          <w:sz w:val="36"/>
          <w:szCs w:val="36"/>
        </w:rPr>
      </w:pPr>
    </w:p>
    <w:p>
      <w:pPr>
        <w:tabs>
          <w:tab w:val="left" w:pos="636"/>
        </w:tabs>
        <w:jc w:val="center"/>
        <w:rPr>
          <w:sz w:val="36"/>
          <w:szCs w:val="36"/>
        </w:rPr>
      </w:pPr>
    </w:p>
    <w:p>
      <w:pPr>
        <w:tabs>
          <w:tab w:val="left" w:pos="636"/>
        </w:tabs>
        <w:jc w:val="center"/>
        <w:rPr>
          <w:b/>
          <w:bCs/>
          <w:sz w:val="36"/>
          <w:szCs w:val="36"/>
        </w:rPr>
      </w:pPr>
      <w:r>
        <w:rPr>
          <w:b/>
          <w:bCs/>
          <w:sz w:val="36"/>
          <w:szCs w:val="36"/>
        </w:rPr>
        <w:t>中国出入境检验检疫协会团体标准</w:t>
      </w:r>
    </w:p>
    <w:p>
      <w:pPr>
        <w:tabs>
          <w:tab w:val="left" w:pos="636"/>
        </w:tabs>
        <w:jc w:val="center"/>
        <w:rPr>
          <w:b/>
          <w:bCs/>
          <w:sz w:val="36"/>
          <w:szCs w:val="36"/>
        </w:rPr>
      </w:pPr>
      <w:r>
        <w:rPr>
          <w:rFonts w:hint="eastAsia"/>
          <w:b/>
          <w:bCs/>
          <w:sz w:val="36"/>
          <w:szCs w:val="36"/>
        </w:rPr>
        <w:t>《</w:t>
      </w:r>
      <w:r>
        <w:rPr>
          <w:b/>
          <w:bCs/>
          <w:sz w:val="36"/>
          <w:szCs w:val="36"/>
        </w:rPr>
        <w:t>粗铜中金的测定 阴离子交换-原子吸收光谱法</w:t>
      </w:r>
      <w:r>
        <w:rPr>
          <w:rFonts w:hint="eastAsia"/>
          <w:b/>
          <w:bCs/>
          <w:sz w:val="36"/>
          <w:szCs w:val="36"/>
        </w:rPr>
        <w:t>》</w:t>
      </w:r>
    </w:p>
    <w:p>
      <w:pPr>
        <w:tabs>
          <w:tab w:val="left" w:pos="636"/>
        </w:tabs>
        <w:jc w:val="center"/>
        <w:rPr>
          <w:rFonts w:hint="eastAsia"/>
          <w:b/>
          <w:bCs/>
          <w:sz w:val="40"/>
          <w:szCs w:val="40"/>
          <w:lang w:val="en-US" w:eastAsia="zh-CN"/>
        </w:rPr>
      </w:pPr>
      <w:r>
        <w:rPr>
          <w:rFonts w:hint="eastAsia"/>
          <w:b/>
          <w:bCs/>
          <w:sz w:val="40"/>
          <w:szCs w:val="40"/>
          <w:lang w:val="en-US" w:eastAsia="zh-CN"/>
        </w:rPr>
        <w:t xml:space="preserve"> </w:t>
      </w:r>
    </w:p>
    <w:p>
      <w:pPr>
        <w:tabs>
          <w:tab w:val="left" w:pos="636"/>
        </w:tabs>
        <w:jc w:val="center"/>
        <w:rPr>
          <w:rFonts w:hint="eastAsia"/>
          <w:b/>
          <w:bCs/>
          <w:sz w:val="40"/>
          <w:szCs w:val="40"/>
          <w:lang w:val="en-US" w:eastAsia="zh-CN"/>
        </w:rPr>
      </w:pPr>
    </w:p>
    <w:p>
      <w:pPr>
        <w:tabs>
          <w:tab w:val="left" w:pos="636"/>
        </w:tabs>
        <w:jc w:val="center"/>
        <w:rPr>
          <w:b/>
          <w:bCs/>
          <w:sz w:val="36"/>
          <w:szCs w:val="36"/>
        </w:rPr>
      </w:pPr>
    </w:p>
    <w:p>
      <w:pPr>
        <w:tabs>
          <w:tab w:val="left" w:pos="636"/>
        </w:tabs>
        <w:jc w:val="center"/>
        <w:rPr>
          <w:b/>
          <w:bCs/>
          <w:sz w:val="36"/>
          <w:szCs w:val="36"/>
        </w:rPr>
      </w:pPr>
    </w:p>
    <w:p>
      <w:pPr>
        <w:tabs>
          <w:tab w:val="left" w:pos="636"/>
        </w:tabs>
        <w:jc w:val="center"/>
        <w:rPr>
          <w:b/>
          <w:bCs/>
          <w:sz w:val="36"/>
          <w:szCs w:val="36"/>
        </w:rPr>
      </w:pPr>
    </w:p>
    <w:p>
      <w:pPr>
        <w:tabs>
          <w:tab w:val="left" w:pos="636"/>
        </w:tabs>
        <w:jc w:val="center"/>
        <w:rPr>
          <w:b/>
          <w:bCs/>
          <w:sz w:val="72"/>
          <w:szCs w:val="72"/>
        </w:rPr>
      </w:pPr>
      <w:r>
        <w:rPr>
          <w:rFonts w:hint="eastAsia"/>
          <w:b/>
          <w:bCs/>
          <w:sz w:val="72"/>
          <w:szCs w:val="72"/>
        </w:rPr>
        <w:t>编制说明</w:t>
      </w:r>
    </w:p>
    <w:p>
      <w:pPr>
        <w:tabs>
          <w:tab w:val="left" w:pos="636"/>
        </w:tabs>
        <w:jc w:val="center"/>
        <w:rPr>
          <w:b/>
          <w:bCs/>
          <w:sz w:val="72"/>
          <w:szCs w:val="72"/>
        </w:rPr>
      </w:pPr>
    </w:p>
    <w:p>
      <w:pPr>
        <w:tabs>
          <w:tab w:val="left" w:pos="636"/>
        </w:tabs>
        <w:jc w:val="center"/>
        <w:rPr>
          <w:b/>
          <w:bCs/>
          <w:sz w:val="72"/>
          <w:szCs w:val="72"/>
        </w:rPr>
      </w:pPr>
    </w:p>
    <w:p>
      <w:pPr>
        <w:tabs>
          <w:tab w:val="left" w:pos="636"/>
        </w:tabs>
        <w:jc w:val="center"/>
        <w:rPr>
          <w:b/>
          <w:bCs/>
          <w:sz w:val="72"/>
          <w:szCs w:val="72"/>
        </w:rPr>
      </w:pPr>
    </w:p>
    <w:p>
      <w:pPr>
        <w:tabs>
          <w:tab w:val="left" w:pos="636"/>
        </w:tabs>
        <w:jc w:val="center"/>
        <w:rPr>
          <w:b/>
          <w:bCs/>
          <w:sz w:val="72"/>
          <w:szCs w:val="72"/>
        </w:rPr>
      </w:pPr>
    </w:p>
    <w:p>
      <w:pPr>
        <w:tabs>
          <w:tab w:val="left" w:pos="636"/>
        </w:tabs>
        <w:jc w:val="center"/>
        <w:rPr>
          <w:sz w:val="72"/>
          <w:szCs w:val="72"/>
        </w:rPr>
      </w:pPr>
    </w:p>
    <w:p>
      <w:pPr>
        <w:tabs>
          <w:tab w:val="left" w:pos="636"/>
        </w:tabs>
        <w:jc w:val="center"/>
        <w:rPr>
          <w:rFonts w:asciiTheme="minorEastAsia" w:hAnsiTheme="minorEastAsia" w:cstheme="minorEastAsia"/>
          <w:sz w:val="36"/>
          <w:szCs w:val="36"/>
        </w:rPr>
      </w:pPr>
    </w:p>
    <w:p>
      <w:pPr>
        <w:tabs>
          <w:tab w:val="left" w:pos="636"/>
        </w:tabs>
        <w:jc w:val="center"/>
        <w:rPr>
          <w:rFonts w:asciiTheme="minorEastAsia" w:hAnsiTheme="minorEastAsia" w:cstheme="minorEastAsia"/>
          <w:sz w:val="36"/>
          <w:szCs w:val="36"/>
        </w:rPr>
      </w:pPr>
      <w:r>
        <w:rPr>
          <w:rFonts w:hint="eastAsia" w:asciiTheme="minorEastAsia" w:hAnsiTheme="minorEastAsia" w:cstheme="minorEastAsia"/>
          <w:sz w:val="36"/>
          <w:szCs w:val="36"/>
        </w:rPr>
        <w:t>标准编制组</w:t>
      </w:r>
    </w:p>
    <w:p>
      <w:pPr>
        <w:tabs>
          <w:tab w:val="left" w:pos="636"/>
        </w:tabs>
        <w:jc w:val="center"/>
        <w:rPr>
          <w:rFonts w:asciiTheme="minorEastAsia" w:hAnsiTheme="minorEastAsia" w:cstheme="minorEastAsia"/>
          <w:sz w:val="36"/>
          <w:szCs w:val="36"/>
        </w:rPr>
      </w:pPr>
      <w:r>
        <w:rPr>
          <w:rFonts w:hint="eastAsia" w:asciiTheme="minorEastAsia" w:hAnsiTheme="minorEastAsia" w:cstheme="minorEastAsia"/>
          <w:sz w:val="36"/>
          <w:szCs w:val="36"/>
        </w:rPr>
        <w:t>2023年6月</w:t>
      </w:r>
    </w:p>
    <w:p>
      <w:pPr>
        <w:tabs>
          <w:tab w:val="left" w:pos="636"/>
        </w:tabs>
        <w:jc w:val="center"/>
        <w:rPr>
          <w:rFonts w:asciiTheme="minorEastAsia" w:hAnsiTheme="minorEastAsia" w:cstheme="minorEastAsia"/>
          <w:sz w:val="36"/>
          <w:szCs w:val="36"/>
        </w:rPr>
      </w:pPr>
    </w:p>
    <w:p>
      <w:pPr>
        <w:tabs>
          <w:tab w:val="left" w:pos="636"/>
        </w:tabs>
        <w:jc w:val="center"/>
        <w:rPr>
          <w:rFonts w:ascii="黑体" w:hAnsi="黑体" w:eastAsia="黑体" w:cs="黑体"/>
          <w:sz w:val="36"/>
          <w:szCs w:val="36"/>
        </w:rPr>
      </w:pPr>
      <w:r>
        <w:rPr>
          <w:rFonts w:hint="eastAsia" w:ascii="黑体" w:hAnsi="黑体" w:eastAsia="黑体" w:cs="黑体"/>
          <w:sz w:val="36"/>
          <w:szCs w:val="36"/>
        </w:rPr>
        <w:t>《粗铜中金的测定 阴离子交换-原子吸收光谱法》</w:t>
      </w:r>
    </w:p>
    <w:p>
      <w:pPr>
        <w:tabs>
          <w:tab w:val="left" w:pos="636"/>
        </w:tabs>
        <w:jc w:val="center"/>
        <w:rPr>
          <w:rFonts w:ascii="黑体" w:hAnsi="黑体" w:eastAsia="黑体" w:cs="黑体"/>
          <w:sz w:val="36"/>
          <w:szCs w:val="36"/>
        </w:rPr>
      </w:pPr>
      <w:r>
        <w:rPr>
          <w:rFonts w:hint="eastAsia" w:ascii="黑体" w:hAnsi="黑体" w:eastAsia="黑体" w:cs="黑体"/>
          <w:sz w:val="36"/>
          <w:szCs w:val="36"/>
        </w:rPr>
        <w:t>团体标准编制说明</w:t>
      </w:r>
    </w:p>
    <w:p>
      <w:pPr>
        <w:tabs>
          <w:tab w:val="left" w:pos="636"/>
        </w:tabs>
        <w:rPr>
          <w:rFonts w:ascii="黑体" w:hAnsi="黑体" w:eastAsia="黑体" w:cs="黑体"/>
          <w:sz w:val="36"/>
          <w:szCs w:val="36"/>
        </w:rPr>
      </w:pPr>
    </w:p>
    <w:p>
      <w:pPr>
        <w:numPr>
          <w:ilvl w:val="0"/>
          <w:numId w:val="2"/>
        </w:numPr>
        <w:tabs>
          <w:tab w:val="left" w:pos="636"/>
        </w:tabs>
        <w:spacing w:line="360" w:lineRule="auto"/>
        <w:rPr>
          <w:rFonts w:ascii="黑体" w:hAnsi="黑体" w:eastAsia="黑体" w:cs="黑体"/>
          <w:sz w:val="28"/>
          <w:szCs w:val="28"/>
        </w:rPr>
      </w:pPr>
      <w:r>
        <w:rPr>
          <w:rFonts w:hint="eastAsia" w:ascii="黑体" w:hAnsi="黑体" w:eastAsia="黑体" w:cs="黑体"/>
          <w:sz w:val="28"/>
          <w:szCs w:val="28"/>
        </w:rPr>
        <w:t>工作简况</w:t>
      </w:r>
    </w:p>
    <w:p>
      <w:pPr>
        <w:tabs>
          <w:tab w:val="left" w:pos="636"/>
        </w:tabs>
        <w:spacing w:line="360" w:lineRule="auto"/>
        <w:rPr>
          <w:rFonts w:ascii="黑体" w:hAnsi="黑体" w:eastAsia="黑体" w:cs="黑体"/>
          <w:sz w:val="24"/>
        </w:rPr>
      </w:pPr>
      <w:r>
        <w:rPr>
          <w:rFonts w:hint="eastAsia" w:ascii="黑体" w:hAnsi="黑体" w:eastAsia="黑体" w:cs="黑体"/>
          <w:sz w:val="24"/>
        </w:rPr>
        <w:t>1.1任务来源</w:t>
      </w:r>
    </w:p>
    <w:p>
      <w:pPr>
        <w:pStyle w:val="9"/>
        <w:spacing w:line="360" w:lineRule="auto"/>
        <w:ind w:firstLine="480"/>
        <w:jc w:val="left"/>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 xml:space="preserve">按照《中国出入境检验检疫协会团体标准管理法》的规定，经中国出入境检验检疫协会标准化技术委员会审核，同时充分考虑市场及检测需求，中国出入境检验检疫协会(中检协标【2021】34号)文件批准《粗铜中金的测定 阴离子交换-原子吸收光谱法》团体标准的立项，立项号 </w:t>
      </w:r>
      <w:r>
        <w:rPr>
          <w:rFonts w:hint="eastAsia" w:asciiTheme="majorEastAsia" w:hAnsiTheme="majorEastAsia" w:eastAsiaTheme="majorEastAsia" w:cstheme="majorEastAsia"/>
          <w:bCs/>
          <w:color w:val="000000" w:themeColor="text1"/>
          <w:sz w:val="24"/>
          <w14:textFill>
            <w14:solidFill>
              <w14:schemeClr w14:val="tx1"/>
            </w14:solidFill>
          </w14:textFill>
        </w:rPr>
        <w:t>P/CIQA-72-2021</w:t>
      </w:r>
      <w:r>
        <w:rPr>
          <w:rFonts w:hint="eastAsia" w:asciiTheme="majorEastAsia" w:hAnsiTheme="majorEastAsia" w:eastAsiaTheme="majorEastAsia" w:cstheme="majorEastAsia"/>
          <w:bCs/>
          <w:sz w:val="24"/>
        </w:rPr>
        <w:t>。</w:t>
      </w:r>
    </w:p>
    <w:p>
      <w:pPr>
        <w:pStyle w:val="9"/>
        <w:spacing w:line="360" w:lineRule="auto"/>
        <w:ind w:firstLine="480"/>
        <w:jc w:val="left"/>
        <w:rPr>
          <w:rFonts w:asciiTheme="majorEastAsia" w:hAnsiTheme="majorEastAsia" w:eastAsiaTheme="majorEastAsia" w:cstheme="majorEastAsia"/>
          <w:bCs/>
          <w:sz w:val="24"/>
        </w:rPr>
      </w:pPr>
    </w:p>
    <w:p>
      <w:pPr>
        <w:tabs>
          <w:tab w:val="left" w:pos="636"/>
        </w:tabs>
        <w:spacing w:line="360" w:lineRule="auto"/>
        <w:rPr>
          <w:rFonts w:ascii="黑体" w:hAnsi="黑体" w:eastAsia="黑体" w:cs="黑体"/>
          <w:sz w:val="24"/>
        </w:rPr>
      </w:pPr>
      <w:r>
        <w:rPr>
          <w:rFonts w:hint="eastAsia" w:ascii="黑体" w:hAnsi="黑体" w:eastAsia="黑体" w:cs="黑体"/>
          <w:sz w:val="24"/>
        </w:rPr>
        <w:t>1.2 主要工作过程</w:t>
      </w:r>
    </w:p>
    <w:p>
      <w:pPr>
        <w:pStyle w:val="9"/>
        <w:spacing w:line="360" w:lineRule="auto"/>
        <w:ind w:firstLine="480"/>
        <w:rPr>
          <w:rFonts w:hint="eastAsia" w:asciiTheme="majorEastAsia" w:hAnsiTheme="majorEastAsia" w:eastAsiaTheme="majorEastAsia" w:cstheme="majorEastAsia"/>
          <w:bCs/>
          <w:color w:val="000000" w:themeColor="text1"/>
          <w:sz w:val="24"/>
          <w:lang w:eastAsia="zh-CN"/>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本标准主要起草单位为中国检验认证集团湖北有限公司、湖北中检检测有限公司</w:t>
      </w:r>
      <w:r>
        <w:rPr>
          <w:rFonts w:hint="eastAsia" w:asciiTheme="majorEastAsia" w:hAnsiTheme="majorEastAsia" w:eastAsiaTheme="majorEastAsia" w:cstheme="majorEastAsia"/>
          <w:bCs/>
          <w:color w:val="000000" w:themeColor="text1"/>
          <w:sz w:val="24"/>
          <w14:textFill>
            <w14:solidFill>
              <w14:schemeClr w14:val="tx1"/>
            </w14:solidFill>
          </w14:textFill>
        </w:rPr>
        <w:t>。参与单位有湖北省纤维检验局</w:t>
      </w:r>
      <w:r>
        <w:rPr>
          <w:rFonts w:asciiTheme="majorEastAsia" w:hAnsiTheme="majorEastAsia" w:eastAsiaTheme="majorEastAsia" w:cstheme="majorEastAsia"/>
          <w:bCs/>
          <w:color w:val="000000" w:themeColor="text1"/>
          <w:sz w:val="24"/>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武汉海关技术中心仙桃检测实验室</w:t>
      </w:r>
      <w:r>
        <w:rPr>
          <w:rFonts w:asciiTheme="majorEastAsia" w:hAnsiTheme="majorEastAsia" w:eastAsiaTheme="majorEastAsia" w:cstheme="majorEastAsia"/>
          <w:bCs/>
          <w:color w:val="000000" w:themeColor="text1"/>
          <w:sz w:val="24"/>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湖北科艾乐检测技术有限公司、福建中检矿产品检验检测有限公司</w:t>
      </w:r>
      <w:r>
        <w:rPr>
          <w:rFonts w:asciiTheme="majorEastAsia" w:hAnsiTheme="majorEastAsia" w:eastAsiaTheme="majorEastAsia" w:cstheme="majorEastAsia"/>
          <w:bCs/>
          <w:color w:val="000000" w:themeColor="text1"/>
          <w:sz w:val="24"/>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中检（深圳）环境服务有限公司</w:t>
      </w:r>
      <w:r>
        <w:rPr>
          <w:rFonts w:asciiTheme="majorEastAsia" w:hAnsiTheme="majorEastAsia" w:eastAsiaTheme="majorEastAsia" w:cstheme="majorEastAsia"/>
          <w:bCs/>
          <w:color w:val="000000" w:themeColor="text1"/>
          <w:sz w:val="24"/>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云南花卉技术培训推广中心分析检测中心</w:t>
      </w:r>
      <w:r>
        <w:rPr>
          <w:rFonts w:hint="eastAsia" w:ascii="宋体" w:hAnsi="宋体"/>
          <w:color w:val="000000" w:themeColor="text1"/>
          <w14:textFill>
            <w14:solidFill>
              <w14:schemeClr w14:val="tx1"/>
            </w14:solidFill>
          </w14:textFill>
        </w:rPr>
        <w:t>。</w:t>
      </w:r>
    </w:p>
    <w:p>
      <w:pPr>
        <w:pStyle w:val="9"/>
        <w:spacing w:line="360" w:lineRule="auto"/>
        <w:ind w:firstLine="480"/>
        <w:rPr>
          <w:rFonts w:hint="default" w:asciiTheme="majorEastAsia" w:hAnsiTheme="majorEastAsia" w:eastAsiaTheme="majorEastAsia" w:cstheme="majorEastAsia"/>
          <w:bCs/>
          <w:color w:val="000000" w:themeColor="text1"/>
          <w:sz w:val="24"/>
          <w:lang w:val="en-US" w:eastAsia="zh-CN"/>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本标准工作小组主要成员有：</w:t>
      </w:r>
      <w:r>
        <w:rPr>
          <w:rFonts w:hint="eastAsia" w:asciiTheme="majorEastAsia" w:hAnsiTheme="majorEastAsia" w:eastAsiaTheme="majorEastAsia" w:cstheme="majorEastAsia"/>
          <w:bCs/>
          <w:color w:val="000000" w:themeColor="text1"/>
          <w:sz w:val="24"/>
          <w14:textFill>
            <w14:solidFill>
              <w14:schemeClr w14:val="tx1"/>
            </w14:solidFill>
          </w14:textFill>
        </w:rPr>
        <w:t>陈魏</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曾蕾</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王家珍</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张及亮</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潘全</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慎蓉</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郭鑫</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李智</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雷海军</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朱启超</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郑寅皓</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胡小钟</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胡德聪</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林雁飞</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r>
        <w:rPr>
          <w:rFonts w:hint="eastAsia" w:asciiTheme="majorEastAsia" w:hAnsiTheme="majorEastAsia" w:eastAsiaTheme="majorEastAsia" w:cstheme="majorEastAsia"/>
          <w:bCs/>
          <w:color w:val="000000" w:themeColor="text1"/>
          <w:sz w:val="24"/>
          <w:lang w:val="en-US" w:eastAsia="zh-CN"/>
          <w14:textFill>
            <w14:solidFill>
              <w14:schemeClr w14:val="tx1"/>
            </w14:solidFill>
          </w14:textFill>
        </w:rPr>
        <w:t>宋敏、张雅嫆、万小蕙、郭少飞、杨志学、刘锦、李明、杨垚丹、李芳、李一帆、陈云龙</w:t>
      </w:r>
      <w:bookmarkStart w:id="0" w:name="_GoBack"/>
      <w:bookmarkEnd w:id="0"/>
      <w:r>
        <w:rPr>
          <w:rFonts w:hint="eastAsia" w:asciiTheme="majorEastAsia" w:hAnsiTheme="majorEastAsia" w:eastAsiaTheme="majorEastAsia" w:cstheme="majorEastAsia"/>
          <w:bCs/>
          <w:color w:val="000000" w:themeColor="text1"/>
          <w:sz w:val="24"/>
          <w:lang w:val="en-US" w:eastAsia="zh-CN"/>
          <w14:textFill>
            <w14:solidFill>
              <w14:schemeClr w14:val="tx1"/>
            </w14:solidFill>
          </w14:textFill>
        </w:rPr>
        <w:t>。</w:t>
      </w:r>
    </w:p>
    <w:p>
      <w:pPr>
        <w:pStyle w:val="9"/>
        <w:spacing w:line="360" w:lineRule="auto"/>
        <w:ind w:firstLine="480"/>
        <w:rPr>
          <w:rFonts w:asciiTheme="majorEastAsia" w:hAnsiTheme="majorEastAsia" w:eastAsiaTheme="majorEastAsia" w:cstheme="majorEastAsia"/>
          <w:bCs/>
          <w:color w:val="000000" w:themeColor="text1"/>
          <w:sz w:val="24"/>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本标准主要工作过程如下：</w:t>
      </w:r>
    </w:p>
    <w:p>
      <w:pPr>
        <w:pStyle w:val="9"/>
        <w:spacing w:line="360" w:lineRule="auto"/>
        <w:ind w:firstLine="480"/>
        <w:rPr>
          <w:rFonts w:asciiTheme="majorEastAsia" w:hAnsiTheme="majorEastAsia" w:eastAsiaTheme="majorEastAsia" w:cstheme="majorEastAsia"/>
          <w:bCs/>
          <w:color w:val="000000" w:themeColor="text1"/>
          <w:sz w:val="24"/>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2021年1月15日，起草单位提交2021年中国出入境检验检疫协会团体标准立项提案申请书；</w:t>
      </w:r>
    </w:p>
    <w:p>
      <w:pPr>
        <w:pStyle w:val="9"/>
        <w:spacing w:line="360" w:lineRule="auto"/>
        <w:ind w:firstLine="480"/>
        <w:rPr>
          <w:rFonts w:asciiTheme="majorEastAsia" w:hAnsiTheme="majorEastAsia" w:eastAsiaTheme="majorEastAsia" w:cstheme="majorEastAsia"/>
          <w:bCs/>
          <w:color w:val="000000" w:themeColor="text1"/>
          <w:sz w:val="24"/>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2021年4月21日，中国出入境检验检疫协会下达的团体标准《</w:t>
      </w:r>
      <w:r>
        <w:rPr>
          <w:rFonts w:hint="eastAsia" w:asciiTheme="majorEastAsia" w:hAnsiTheme="majorEastAsia" w:eastAsiaTheme="majorEastAsia" w:cstheme="majorEastAsia"/>
          <w:bCs/>
          <w:sz w:val="24"/>
        </w:rPr>
        <w:t>粗铜中金的测定 阴离子交换-原子吸收光谱法</w:t>
      </w:r>
      <w:r>
        <w:rPr>
          <w:rFonts w:asciiTheme="majorEastAsia" w:hAnsiTheme="majorEastAsia" w:eastAsiaTheme="majorEastAsia" w:cstheme="majorEastAsia"/>
          <w:bCs/>
          <w:color w:val="000000" w:themeColor="text1"/>
          <w:sz w:val="24"/>
          <w14:textFill>
            <w14:solidFill>
              <w14:schemeClr w14:val="tx1"/>
            </w14:solidFill>
          </w14:textFill>
        </w:rPr>
        <w:t>》立项通知，并成立标准项目工作小组；</w:t>
      </w:r>
    </w:p>
    <w:p>
      <w:pPr>
        <w:pStyle w:val="9"/>
        <w:spacing w:line="360" w:lineRule="auto"/>
        <w:ind w:firstLine="480"/>
        <w:rPr>
          <w:rFonts w:hint="eastAsia" w:asciiTheme="majorEastAsia" w:hAnsiTheme="majorEastAsia" w:eastAsiaTheme="majorEastAsia" w:cstheme="majorEastAsia"/>
          <w:bCs/>
          <w:color w:val="000000" w:themeColor="text1"/>
          <w:sz w:val="24"/>
          <w:lang w:eastAsia="zh-CN"/>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2021年5月～8月，完成前期勘验和调研、查新等相关材料的核查</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p>
    <w:p>
      <w:pPr>
        <w:pStyle w:val="9"/>
        <w:spacing w:line="360" w:lineRule="auto"/>
        <w:ind w:firstLine="480"/>
        <w:rPr>
          <w:rFonts w:hint="eastAsia" w:asciiTheme="majorEastAsia" w:hAnsiTheme="majorEastAsia" w:eastAsiaTheme="majorEastAsia" w:cstheme="majorEastAsia"/>
          <w:bCs/>
          <w:color w:val="000000" w:themeColor="text1"/>
          <w:sz w:val="24"/>
          <w:lang w:eastAsia="zh-CN"/>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2021年8月～12月，完成试验用样品的采购和相关实验准备工作</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p>
    <w:p>
      <w:pPr>
        <w:pStyle w:val="9"/>
        <w:spacing w:line="360" w:lineRule="auto"/>
        <w:ind w:firstLine="480"/>
        <w:rPr>
          <w:rFonts w:hint="eastAsia" w:asciiTheme="majorEastAsia" w:hAnsiTheme="majorEastAsia" w:eastAsiaTheme="majorEastAsia" w:cstheme="majorEastAsia"/>
          <w:bCs/>
          <w:color w:val="000000" w:themeColor="text1"/>
          <w:sz w:val="24"/>
          <w:lang w:eastAsia="zh-CN"/>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2022年1月～2023年3月，开展实验研究与验证工作</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p>
    <w:p>
      <w:pPr>
        <w:pStyle w:val="9"/>
        <w:spacing w:line="360" w:lineRule="auto"/>
        <w:ind w:firstLine="480"/>
        <w:rPr>
          <w:rFonts w:hint="eastAsia" w:asciiTheme="majorEastAsia" w:hAnsiTheme="majorEastAsia" w:eastAsiaTheme="majorEastAsia" w:cstheme="majorEastAsia"/>
          <w:bCs/>
          <w:color w:val="000000" w:themeColor="text1"/>
          <w:sz w:val="24"/>
          <w:lang w:eastAsia="zh-CN"/>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2023年</w:t>
      </w:r>
      <w:r>
        <w:rPr>
          <w:rFonts w:hint="eastAsia" w:asciiTheme="majorEastAsia" w:hAnsiTheme="majorEastAsia" w:eastAsiaTheme="majorEastAsia" w:cstheme="majorEastAsia"/>
          <w:bCs/>
          <w:color w:val="000000" w:themeColor="text1"/>
          <w:sz w:val="24"/>
          <w:lang w:val="en-US" w:eastAsia="zh-CN"/>
          <w14:textFill>
            <w14:solidFill>
              <w14:schemeClr w14:val="tx1"/>
            </w14:solidFill>
          </w14:textFill>
        </w:rPr>
        <w:t>4月</w:t>
      </w:r>
      <w:r>
        <w:rPr>
          <w:rFonts w:asciiTheme="majorEastAsia" w:hAnsiTheme="majorEastAsia" w:eastAsiaTheme="majorEastAsia" w:cstheme="majorEastAsia"/>
          <w:bCs/>
          <w:color w:val="000000" w:themeColor="text1"/>
          <w:sz w:val="24"/>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6</w:t>
      </w:r>
      <w:r>
        <w:rPr>
          <w:rFonts w:asciiTheme="majorEastAsia" w:hAnsiTheme="majorEastAsia" w:eastAsiaTheme="majorEastAsia" w:cstheme="majorEastAsia"/>
          <w:bCs/>
          <w:color w:val="000000" w:themeColor="text1"/>
          <w:sz w:val="24"/>
          <w14:textFill>
            <w14:solidFill>
              <w14:schemeClr w14:val="tx1"/>
            </w14:solidFill>
          </w14:textFill>
        </w:rPr>
        <w:t>月，同外部单位实验室协作验证和结果的统计</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p>
    <w:p>
      <w:pPr>
        <w:pStyle w:val="9"/>
        <w:spacing w:line="360" w:lineRule="auto"/>
        <w:ind w:firstLine="480"/>
        <w:rPr>
          <w:rFonts w:hint="eastAsia" w:asciiTheme="majorEastAsia" w:hAnsiTheme="majorEastAsia" w:eastAsiaTheme="majorEastAsia" w:cstheme="majorEastAsia"/>
          <w:bCs/>
          <w:color w:val="000000" w:themeColor="text1"/>
          <w:sz w:val="24"/>
          <w:lang w:eastAsia="zh-CN"/>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2023年6月，完成编写标准草案初稿，以及编制说明</w:t>
      </w:r>
      <w:r>
        <w:rPr>
          <w:rFonts w:hint="eastAsia" w:asciiTheme="majorEastAsia" w:hAnsiTheme="majorEastAsia" w:eastAsiaTheme="majorEastAsia" w:cstheme="majorEastAsia"/>
          <w:bCs/>
          <w:color w:val="000000" w:themeColor="text1"/>
          <w:sz w:val="24"/>
          <w:lang w:eastAsia="zh-CN"/>
          <w14:textFill>
            <w14:solidFill>
              <w14:schemeClr w14:val="tx1"/>
            </w14:solidFill>
          </w14:textFill>
        </w:rPr>
        <w:t>；</w:t>
      </w:r>
    </w:p>
    <w:p>
      <w:pPr>
        <w:pStyle w:val="9"/>
        <w:spacing w:line="360" w:lineRule="auto"/>
        <w:ind w:firstLine="480"/>
        <w:rPr>
          <w:rFonts w:asciiTheme="majorEastAsia" w:hAnsiTheme="majorEastAsia" w:eastAsiaTheme="majorEastAsia" w:cstheme="majorEastAsia"/>
          <w:bCs/>
          <w:color w:val="000000" w:themeColor="text1"/>
          <w:sz w:val="24"/>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2023年7～8月，向各参与单位及相关领域专家征求意见并对标准草案逐字逐句讨论修改。对202</w:t>
      </w:r>
      <w:r>
        <w:rPr>
          <w:rFonts w:hint="eastAsia" w:asciiTheme="majorEastAsia" w:hAnsiTheme="majorEastAsia" w:eastAsiaTheme="majorEastAsia" w:cstheme="majorEastAsia"/>
          <w:bCs/>
          <w:color w:val="000000" w:themeColor="text1"/>
          <w:sz w:val="24"/>
          <w:lang w:val="en-US" w:eastAsia="zh-CN"/>
          <w14:textFill>
            <w14:solidFill>
              <w14:schemeClr w14:val="tx1"/>
            </w14:solidFill>
          </w14:textFill>
        </w:rPr>
        <w:t>3</w:t>
      </w:r>
      <w:r>
        <w:rPr>
          <w:rFonts w:asciiTheme="majorEastAsia" w:hAnsiTheme="majorEastAsia" w:eastAsiaTheme="majorEastAsia" w:cstheme="majorEastAsia"/>
          <w:bCs/>
          <w:color w:val="000000" w:themeColor="text1"/>
          <w:sz w:val="24"/>
          <w14:textFill>
            <w14:solidFill>
              <w14:schemeClr w14:val="tx1"/>
            </w14:solidFill>
          </w14:textFill>
        </w:rPr>
        <w:t>年8月修改后的最终稿作为最后标准征求意见稿上报中国出入境检验检疫协会技术委员会秘书处。</w:t>
      </w:r>
    </w:p>
    <w:p>
      <w:pPr>
        <w:pStyle w:val="9"/>
        <w:spacing w:line="360" w:lineRule="auto"/>
        <w:ind w:firstLine="480"/>
        <w:rPr>
          <w:rFonts w:asciiTheme="majorEastAsia" w:hAnsiTheme="majorEastAsia" w:eastAsiaTheme="majorEastAsia" w:cstheme="majorEastAsia"/>
          <w:bCs/>
          <w:color w:val="000000" w:themeColor="text1"/>
          <w:sz w:val="24"/>
          <w14:textFill>
            <w14:solidFill>
              <w14:schemeClr w14:val="tx1"/>
            </w14:solidFill>
          </w14:textFill>
        </w:rPr>
      </w:pPr>
    </w:p>
    <w:p>
      <w:pPr>
        <w:tabs>
          <w:tab w:val="left" w:pos="636"/>
        </w:tabs>
        <w:spacing w:line="360" w:lineRule="auto"/>
        <w:rPr>
          <w:rFonts w:ascii="黑体" w:hAnsi="黑体" w:eastAsia="黑体" w:cs="黑体"/>
          <w:sz w:val="24"/>
        </w:rPr>
      </w:pPr>
      <w:r>
        <w:rPr>
          <w:rFonts w:hint="eastAsia" w:ascii="黑体" w:hAnsi="黑体" w:eastAsia="黑体" w:cs="黑体"/>
          <w:sz w:val="24"/>
        </w:rPr>
        <w:t>1.3 标准编写原则与格式</w:t>
      </w:r>
    </w:p>
    <w:p>
      <w:pPr>
        <w:pStyle w:val="9"/>
        <w:spacing w:line="360" w:lineRule="auto"/>
        <w:ind w:firstLine="480"/>
        <w:rPr>
          <w:rFonts w:asciiTheme="majorEastAsia" w:hAnsiTheme="majorEastAsia" w:eastAsiaTheme="majorEastAsia" w:cstheme="majorEastAsia"/>
          <w:bCs/>
          <w:color w:val="000000" w:themeColor="text1"/>
          <w:sz w:val="24"/>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本标准是根据GB/T</w:t>
      </w:r>
      <w:r>
        <w:rPr>
          <w:rFonts w:hint="eastAsia" w:asciiTheme="majorEastAsia" w:hAnsiTheme="majorEastAsia" w:eastAsiaTheme="majorEastAsia" w:cstheme="majorEastAsia"/>
          <w:bCs/>
          <w:color w:val="000000" w:themeColor="text1"/>
          <w:sz w:val="24"/>
          <w14:textFill>
            <w14:solidFill>
              <w14:schemeClr w14:val="tx1"/>
            </w14:solidFill>
          </w14:textFill>
        </w:rPr>
        <w:t xml:space="preserve"> </w:t>
      </w:r>
      <w:r>
        <w:rPr>
          <w:rFonts w:asciiTheme="majorEastAsia" w:hAnsiTheme="majorEastAsia" w:eastAsiaTheme="majorEastAsia" w:cstheme="majorEastAsia"/>
          <w:bCs/>
          <w:color w:val="000000" w:themeColor="text1"/>
          <w:sz w:val="24"/>
          <w14:textFill>
            <w14:solidFill>
              <w14:schemeClr w14:val="tx1"/>
            </w14:solidFill>
          </w14:textFill>
        </w:rPr>
        <w:t>1.1-2020《标准化工作导则 第1部分：标准化文件的结构和起草规则》和GB/T</w:t>
      </w:r>
      <w:r>
        <w:rPr>
          <w:rFonts w:hint="eastAsia" w:asciiTheme="majorEastAsia" w:hAnsiTheme="majorEastAsia" w:eastAsiaTheme="majorEastAsia" w:cstheme="majorEastAsia"/>
          <w:bCs/>
          <w:color w:val="000000" w:themeColor="text1"/>
          <w:sz w:val="24"/>
          <w14:textFill>
            <w14:solidFill>
              <w14:schemeClr w14:val="tx1"/>
            </w14:solidFill>
          </w14:textFill>
        </w:rPr>
        <w:t xml:space="preserve"> </w:t>
      </w:r>
      <w:r>
        <w:rPr>
          <w:rFonts w:asciiTheme="majorEastAsia" w:hAnsiTheme="majorEastAsia" w:eastAsiaTheme="majorEastAsia" w:cstheme="majorEastAsia"/>
          <w:bCs/>
          <w:color w:val="000000" w:themeColor="text1"/>
          <w:sz w:val="24"/>
          <w14:textFill>
            <w14:solidFill>
              <w14:schemeClr w14:val="tx1"/>
            </w14:solidFill>
          </w14:textFill>
        </w:rPr>
        <w:t>20001.4-2015《标准编写规则 第4部分：试验方法标准》的要求进行编写的。</w:t>
      </w:r>
    </w:p>
    <w:p>
      <w:pPr>
        <w:pStyle w:val="9"/>
        <w:spacing w:line="360" w:lineRule="auto"/>
        <w:ind w:firstLine="480"/>
        <w:rPr>
          <w:rFonts w:asciiTheme="majorEastAsia" w:hAnsiTheme="majorEastAsia" w:eastAsiaTheme="majorEastAsia" w:cstheme="majorEastAsia"/>
          <w:bCs/>
          <w:color w:val="000000" w:themeColor="text1"/>
          <w:sz w:val="24"/>
          <w14:textFill>
            <w14:solidFill>
              <w14:schemeClr w14:val="tx1"/>
            </w14:solidFill>
          </w14:textFill>
        </w:rPr>
      </w:pPr>
    </w:p>
    <w:p>
      <w:pPr>
        <w:tabs>
          <w:tab w:val="left" w:pos="636"/>
        </w:tabs>
        <w:spacing w:line="360" w:lineRule="auto"/>
        <w:rPr>
          <w:rFonts w:ascii="黑体" w:hAnsi="黑体" w:eastAsia="黑体" w:cs="黑体"/>
          <w:sz w:val="24"/>
        </w:rPr>
      </w:pPr>
      <w:r>
        <w:rPr>
          <w:rFonts w:hint="eastAsia" w:ascii="黑体" w:hAnsi="黑体" w:eastAsia="黑体" w:cs="黑体"/>
          <w:sz w:val="24"/>
        </w:rPr>
        <w:t>1.4 标准编写的目的与意义</w:t>
      </w:r>
    </w:p>
    <w:p>
      <w:pPr>
        <w:pStyle w:val="9"/>
        <w:spacing w:line="360" w:lineRule="auto"/>
        <w:ind w:firstLine="480"/>
        <w:rPr>
          <w:rFonts w:asciiTheme="majorEastAsia" w:hAnsiTheme="majorEastAsia" w:eastAsiaTheme="majorEastAsia" w:cstheme="majorEastAsia"/>
          <w:bCs/>
          <w:color w:val="000000" w:themeColor="text1"/>
          <w:sz w:val="24"/>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铜作为与人类密不可分的有色金属，被广泛地应用于生产生活、机械制造、电子电器、建筑工业和国防科工等领域。粗铜（又称阳极铜）是生产铜及铜制品的中间产品，一般含铜量为98%～99%。粗铜的生产主要采用火法炼铜工艺，火法炼铜工艺占铜产量的80%以上，该工艺主要包含焙烧、熔炼、吹炼和精炼等工序，具体流程为：首先对铜精矿进行焙烧，以去除硫和砷、锑等易挥发的杂质；接着进入熔炼环节，使焙烧后的铜精矿中的部分铁氧化，并与脉石、熔剂等造渣除去，产出铜含量为50%～60%的冰铜，铜精矿中伴生的金、银等贵金属元素几乎全部进入到冰铜中；然后进入吹炼环节，即往熔融的冰铜中鼓入空气，使硫化亚铁氧化成氧化亚铁，并与加入的石英熔剂造渣除去，同时也使硫化亚铜中的硫氧化进入烟气，从而得到含铜为98%～99%的粗铜，此时贵金属也转移到粗铜中，因此粗铜中含有一定量的金元素，由于粗铜中含有金、银等贵金属元素，其含量直接参与最终计价。</w:t>
      </w:r>
    </w:p>
    <w:p>
      <w:pPr>
        <w:spacing w:line="440" w:lineRule="exact"/>
        <w:ind w:firstLine="480" w:firstLineChars="200"/>
        <w:rPr>
          <w:rFonts w:asciiTheme="majorEastAsia" w:hAnsiTheme="majorEastAsia" w:eastAsiaTheme="majorEastAsia" w:cstheme="majorEastAsia"/>
          <w:bCs/>
          <w:color w:val="000000" w:themeColor="text1"/>
          <w:sz w:val="24"/>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世界上有粗铜冶炼厂约100座，生产能力约1000万吨，世界粗铜的进出口贸易量约200万吨。中国是世界上主要的粗铜进口国，</w:t>
      </w:r>
      <w:r>
        <w:rPr>
          <w:rFonts w:hint="eastAsia" w:asciiTheme="majorEastAsia" w:hAnsiTheme="majorEastAsia" w:eastAsiaTheme="majorEastAsia" w:cstheme="majorEastAsia"/>
          <w:bCs/>
          <w:color w:val="000000" w:themeColor="text1"/>
          <w:sz w:val="24"/>
          <w14:textFill>
            <w14:solidFill>
              <w14:schemeClr w14:val="tx1"/>
            </w14:solidFill>
          </w14:textFill>
        </w:rPr>
        <w:t>约占全球贸易的50%，</w:t>
      </w:r>
      <w:r>
        <w:rPr>
          <w:rFonts w:asciiTheme="majorEastAsia" w:hAnsiTheme="majorEastAsia" w:eastAsiaTheme="majorEastAsia" w:cstheme="majorEastAsia"/>
          <w:bCs/>
          <w:color w:val="000000" w:themeColor="text1"/>
          <w:sz w:val="24"/>
          <w14:textFill>
            <w14:solidFill>
              <w14:schemeClr w14:val="tx1"/>
            </w14:solidFill>
          </w14:textFill>
        </w:rPr>
        <w:t>每年从智利、秘鲁、</w:t>
      </w:r>
      <w:r>
        <w:rPr>
          <w:rFonts w:hint="eastAsia" w:asciiTheme="majorEastAsia" w:hAnsiTheme="majorEastAsia" w:eastAsiaTheme="majorEastAsia" w:cstheme="majorEastAsia"/>
          <w:bCs/>
          <w:color w:val="000000" w:themeColor="text1"/>
          <w:sz w:val="24"/>
          <w14:textFill>
            <w14:solidFill>
              <w14:schemeClr w14:val="tx1"/>
            </w14:solidFill>
          </w14:textFill>
        </w:rPr>
        <w:t>澳大利亚</w:t>
      </w:r>
      <w:r>
        <w:rPr>
          <w:rFonts w:asciiTheme="majorEastAsia" w:hAnsiTheme="majorEastAsia" w:eastAsiaTheme="majorEastAsia" w:cstheme="majorEastAsia"/>
          <w:bCs/>
          <w:color w:val="000000" w:themeColor="text1"/>
          <w:sz w:val="24"/>
          <w14:textFill>
            <w14:solidFill>
              <w14:schemeClr w14:val="tx1"/>
            </w14:solidFill>
          </w14:textFill>
        </w:rPr>
        <w:t>和赞比亚等国进口大量的粗铜。进口的粗铜经过国内</w:t>
      </w:r>
      <w:r>
        <w:rPr>
          <w:rFonts w:hint="eastAsia" w:asciiTheme="majorEastAsia" w:hAnsiTheme="majorEastAsia" w:eastAsiaTheme="majorEastAsia" w:cstheme="majorEastAsia"/>
          <w:bCs/>
          <w:color w:val="000000" w:themeColor="text1"/>
          <w:sz w:val="24"/>
          <w14:textFill>
            <w14:solidFill>
              <w14:schemeClr w14:val="tx1"/>
            </w14:solidFill>
          </w14:textFill>
        </w:rPr>
        <w:t>冶炼厂</w:t>
      </w:r>
      <w:r>
        <w:rPr>
          <w:rFonts w:asciiTheme="majorEastAsia" w:hAnsiTheme="majorEastAsia" w:eastAsiaTheme="majorEastAsia" w:cstheme="majorEastAsia"/>
          <w:bCs/>
          <w:color w:val="000000" w:themeColor="text1"/>
          <w:sz w:val="24"/>
          <w14:textFill>
            <w14:solidFill>
              <w14:schemeClr w14:val="tx1"/>
            </w14:solidFill>
          </w14:textFill>
        </w:rPr>
        <w:t>的加工处理后，可以进一步被用于生产高品质的铜材和铜产品，满足国内各个行业的需求。进口粗铜的增加</w:t>
      </w:r>
      <w:r>
        <w:rPr>
          <w:rFonts w:hint="eastAsia" w:asciiTheme="majorEastAsia" w:hAnsiTheme="majorEastAsia" w:eastAsiaTheme="majorEastAsia" w:cstheme="majorEastAsia"/>
          <w:bCs/>
          <w:color w:val="000000" w:themeColor="text1"/>
          <w:sz w:val="24"/>
          <w14:textFill>
            <w14:solidFill>
              <w14:schemeClr w14:val="tx1"/>
            </w14:solidFill>
          </w14:textFill>
        </w:rPr>
        <w:t>也</w:t>
      </w:r>
      <w:r>
        <w:rPr>
          <w:rFonts w:asciiTheme="majorEastAsia" w:hAnsiTheme="majorEastAsia" w:eastAsiaTheme="majorEastAsia" w:cstheme="majorEastAsia"/>
          <w:bCs/>
          <w:color w:val="000000" w:themeColor="text1"/>
          <w:sz w:val="24"/>
          <w14:textFill>
            <w14:solidFill>
              <w14:schemeClr w14:val="tx1"/>
            </w14:solidFill>
          </w14:textFill>
        </w:rPr>
        <w:t>间接地推动了</w:t>
      </w:r>
      <w:r>
        <w:rPr>
          <w:rFonts w:hint="eastAsia" w:asciiTheme="majorEastAsia" w:hAnsiTheme="majorEastAsia" w:eastAsiaTheme="majorEastAsia" w:cstheme="majorEastAsia"/>
          <w:bCs/>
          <w:color w:val="000000" w:themeColor="text1"/>
          <w:sz w:val="24"/>
          <w14:textFill>
            <w14:solidFill>
              <w14:schemeClr w14:val="tx1"/>
            </w14:solidFill>
          </w14:textFill>
        </w:rPr>
        <w:t>我国</w:t>
      </w:r>
      <w:r>
        <w:rPr>
          <w:rFonts w:asciiTheme="majorEastAsia" w:hAnsiTheme="majorEastAsia" w:eastAsiaTheme="majorEastAsia" w:cstheme="majorEastAsia"/>
          <w:bCs/>
          <w:color w:val="000000" w:themeColor="text1"/>
          <w:sz w:val="24"/>
          <w14:textFill>
            <w14:solidFill>
              <w14:schemeClr w14:val="tx1"/>
            </w14:solidFill>
          </w14:textFill>
        </w:rPr>
        <w:t>铜材、线材的供应</w:t>
      </w:r>
      <w:r>
        <w:rPr>
          <w:rFonts w:hint="eastAsia" w:asciiTheme="majorEastAsia" w:hAnsiTheme="majorEastAsia" w:eastAsiaTheme="majorEastAsia" w:cstheme="majorEastAsia"/>
          <w:bCs/>
          <w:color w:val="000000" w:themeColor="text1"/>
          <w:sz w:val="24"/>
          <w14:textFill>
            <w14:solidFill>
              <w14:schemeClr w14:val="tx1"/>
            </w14:solidFill>
          </w14:textFill>
        </w:rPr>
        <w:t>量</w:t>
      </w:r>
      <w:r>
        <w:rPr>
          <w:rFonts w:asciiTheme="majorEastAsia" w:hAnsiTheme="majorEastAsia" w:eastAsiaTheme="majorEastAsia" w:cstheme="majorEastAsia"/>
          <w:bCs/>
          <w:color w:val="000000" w:themeColor="text1"/>
          <w:sz w:val="24"/>
          <w14:textFill>
            <w14:solidFill>
              <w14:schemeClr w14:val="tx1"/>
            </w14:solidFill>
          </w14:textFill>
        </w:rPr>
        <w:t>增加，有利于保障国内铜加工行业的持续发展</w:t>
      </w:r>
      <w:r>
        <w:rPr>
          <w:rFonts w:hint="eastAsia" w:asciiTheme="majorEastAsia" w:hAnsiTheme="majorEastAsia" w:eastAsiaTheme="majorEastAsia" w:cstheme="majorEastAsia"/>
          <w:bCs/>
          <w:color w:val="000000" w:themeColor="text1"/>
          <w:sz w:val="24"/>
          <w14:textFill>
            <w14:solidFill>
              <w14:schemeClr w14:val="tx1"/>
            </w14:solidFill>
          </w14:textFill>
        </w:rPr>
        <w:t>，同时也在</w:t>
      </w:r>
      <w:r>
        <w:rPr>
          <w:rFonts w:asciiTheme="majorEastAsia" w:hAnsiTheme="majorEastAsia" w:eastAsiaTheme="majorEastAsia" w:cstheme="majorEastAsia"/>
          <w:bCs/>
          <w:color w:val="000000" w:themeColor="text1"/>
          <w:sz w:val="24"/>
          <w14:textFill>
            <w14:solidFill>
              <w14:schemeClr w14:val="tx1"/>
            </w14:solidFill>
          </w14:textFill>
        </w:rPr>
        <w:t>一定程度上降低了国内铜储备的风险。此外，粗铜进口在成本和效率上</w:t>
      </w:r>
      <w:r>
        <w:rPr>
          <w:rFonts w:hint="eastAsia" w:asciiTheme="majorEastAsia" w:hAnsiTheme="majorEastAsia" w:eastAsiaTheme="majorEastAsia" w:cstheme="majorEastAsia"/>
          <w:bCs/>
          <w:color w:val="000000" w:themeColor="text1"/>
          <w:sz w:val="24"/>
          <w14:textFill>
            <w14:solidFill>
              <w14:schemeClr w14:val="tx1"/>
            </w14:solidFill>
          </w14:textFill>
        </w:rPr>
        <w:t>要</w:t>
      </w:r>
      <w:r>
        <w:rPr>
          <w:rFonts w:asciiTheme="majorEastAsia" w:hAnsiTheme="majorEastAsia" w:eastAsiaTheme="majorEastAsia" w:cstheme="majorEastAsia"/>
          <w:bCs/>
          <w:color w:val="000000" w:themeColor="text1"/>
          <w:sz w:val="24"/>
          <w14:textFill>
            <w14:solidFill>
              <w14:schemeClr w14:val="tx1"/>
            </w14:solidFill>
          </w14:textFill>
        </w:rPr>
        <w:t>优于从生产国直接进口铜精矿。</w:t>
      </w:r>
    </w:p>
    <w:p>
      <w:pPr>
        <w:spacing w:line="440" w:lineRule="exact"/>
        <w:ind w:firstLine="480" w:firstLineChars="200"/>
        <w:rPr>
          <w:rFonts w:asciiTheme="majorEastAsia" w:hAnsiTheme="majorEastAsia" w:eastAsiaTheme="majorEastAsia" w:cstheme="majorEastAsia"/>
          <w:bCs/>
          <w:color w:val="000000" w:themeColor="text1"/>
          <w:sz w:val="24"/>
          <w14:textFill>
            <w14:solidFill>
              <w14:schemeClr w14:val="tx1"/>
            </w14:solidFill>
          </w14:textFill>
        </w:rPr>
      </w:pPr>
      <w:r>
        <w:rPr>
          <w:rFonts w:hint="eastAsia" w:asciiTheme="majorEastAsia" w:hAnsiTheme="majorEastAsia" w:eastAsiaTheme="majorEastAsia" w:cstheme="majorEastAsia"/>
          <w:bCs/>
          <w:color w:val="000000" w:themeColor="text1"/>
          <w:sz w:val="24"/>
          <w14:textFill>
            <w14:solidFill>
              <w14:schemeClr w14:val="tx1"/>
            </w14:solidFill>
          </w14:textFill>
        </w:rPr>
        <w:t>随着我国经济的持续发展，对铜的需求不断增加，粗铜的进口量也与日俱增，</w:t>
      </w:r>
      <w:r>
        <w:rPr>
          <w:rFonts w:asciiTheme="majorEastAsia" w:hAnsiTheme="majorEastAsia" w:eastAsiaTheme="majorEastAsia" w:cstheme="majorEastAsia"/>
          <w:bCs/>
          <w:color w:val="000000" w:themeColor="text1"/>
          <w:sz w:val="24"/>
          <w14:textFill>
            <w14:solidFill>
              <w14:schemeClr w14:val="tx1"/>
            </w14:solidFill>
          </w14:textFill>
        </w:rPr>
        <w:t>2022年粗铜进口量为76万吨，</w:t>
      </w:r>
      <w:r>
        <w:rPr>
          <w:rFonts w:hint="eastAsia" w:asciiTheme="majorEastAsia" w:hAnsiTheme="majorEastAsia" w:eastAsiaTheme="majorEastAsia" w:cstheme="majorEastAsia"/>
          <w:bCs/>
          <w:color w:val="000000" w:themeColor="text1"/>
          <w:sz w:val="24"/>
          <w14:textFill>
            <w14:solidFill>
              <w14:schemeClr w14:val="tx1"/>
            </w14:solidFill>
          </w14:textFill>
        </w:rPr>
        <w:t>一方面</w:t>
      </w:r>
      <w:r>
        <w:rPr>
          <w:rFonts w:asciiTheme="majorEastAsia" w:hAnsiTheme="majorEastAsia" w:eastAsiaTheme="majorEastAsia" w:cstheme="majorEastAsia"/>
          <w:bCs/>
          <w:color w:val="000000" w:themeColor="text1"/>
          <w:sz w:val="24"/>
          <w14:textFill>
            <w14:solidFill>
              <w14:schemeClr w14:val="tx1"/>
            </w14:solidFill>
          </w14:textFill>
        </w:rPr>
        <w:t>金作为粗铜</w:t>
      </w:r>
      <w:r>
        <w:rPr>
          <w:rFonts w:hint="eastAsia" w:asciiTheme="majorEastAsia" w:hAnsiTheme="majorEastAsia" w:eastAsiaTheme="majorEastAsia" w:cstheme="majorEastAsia"/>
          <w:bCs/>
          <w:color w:val="000000" w:themeColor="text1"/>
          <w:sz w:val="24"/>
          <w14:textFill>
            <w14:solidFill>
              <w14:schemeClr w14:val="tx1"/>
            </w14:solidFill>
          </w14:textFill>
        </w:rPr>
        <w:t>中</w:t>
      </w:r>
      <w:r>
        <w:rPr>
          <w:rFonts w:asciiTheme="majorEastAsia" w:hAnsiTheme="majorEastAsia" w:eastAsiaTheme="majorEastAsia" w:cstheme="majorEastAsia"/>
          <w:bCs/>
          <w:color w:val="000000" w:themeColor="text1"/>
          <w:sz w:val="24"/>
          <w14:textFill>
            <w14:solidFill>
              <w14:schemeClr w14:val="tx1"/>
            </w14:solidFill>
          </w14:textFill>
        </w:rPr>
        <w:t>的主要计价元素，其含量的高低直接影响着产品</w:t>
      </w:r>
      <w:r>
        <w:rPr>
          <w:rFonts w:hint="eastAsia" w:asciiTheme="majorEastAsia" w:hAnsiTheme="majorEastAsia" w:eastAsiaTheme="majorEastAsia" w:cstheme="majorEastAsia"/>
          <w:bCs/>
          <w:color w:val="000000" w:themeColor="text1"/>
          <w:sz w:val="24"/>
          <w14:textFill>
            <w14:solidFill>
              <w14:schemeClr w14:val="tx1"/>
            </w14:solidFill>
          </w14:textFill>
        </w:rPr>
        <w:t>在国际贸易中的</w:t>
      </w:r>
      <w:r>
        <w:rPr>
          <w:rFonts w:asciiTheme="majorEastAsia" w:hAnsiTheme="majorEastAsia" w:eastAsiaTheme="majorEastAsia" w:cstheme="majorEastAsia"/>
          <w:bCs/>
          <w:color w:val="000000" w:themeColor="text1"/>
          <w:sz w:val="24"/>
          <w14:textFill>
            <w14:solidFill>
              <w14:schemeClr w14:val="tx1"/>
            </w14:solidFill>
          </w14:textFill>
        </w:rPr>
        <w:t>定价</w:t>
      </w:r>
      <w:r>
        <w:rPr>
          <w:rFonts w:hint="eastAsia" w:asciiTheme="majorEastAsia" w:hAnsiTheme="majorEastAsia" w:eastAsiaTheme="majorEastAsia" w:cstheme="majorEastAsia"/>
          <w:bCs/>
          <w:color w:val="000000" w:themeColor="text1"/>
          <w:sz w:val="24"/>
          <w14:textFill>
            <w14:solidFill>
              <w14:schemeClr w14:val="tx1"/>
            </w14:solidFill>
          </w14:textFill>
        </w:rPr>
        <w:t>；另一方面粗铜经过精炼电解后，金等贵金属元素富集在阳极泥中，从阳极泥中提取这些金属，就可以直接取得巨大经济效益。</w:t>
      </w:r>
      <w:r>
        <w:rPr>
          <w:rFonts w:asciiTheme="majorEastAsia" w:hAnsiTheme="majorEastAsia" w:eastAsiaTheme="majorEastAsia" w:cstheme="majorEastAsia"/>
          <w:bCs/>
          <w:color w:val="000000" w:themeColor="text1"/>
          <w:sz w:val="24"/>
          <w14:textFill>
            <w14:solidFill>
              <w14:schemeClr w14:val="tx1"/>
            </w14:solidFill>
          </w14:textFill>
        </w:rPr>
        <w:t>因此将粗铜中的金准确</w:t>
      </w:r>
      <w:r>
        <w:rPr>
          <w:rFonts w:hint="eastAsia" w:asciiTheme="majorEastAsia" w:hAnsiTheme="majorEastAsia" w:eastAsiaTheme="majorEastAsia" w:cstheme="majorEastAsia"/>
          <w:bCs/>
          <w:color w:val="000000" w:themeColor="text1"/>
          <w:sz w:val="24"/>
          <w14:textFill>
            <w14:solidFill>
              <w14:schemeClr w14:val="tx1"/>
            </w14:solidFill>
          </w14:textFill>
        </w:rPr>
        <w:t>、快速</w:t>
      </w:r>
      <w:r>
        <w:rPr>
          <w:rFonts w:asciiTheme="majorEastAsia" w:hAnsiTheme="majorEastAsia" w:eastAsiaTheme="majorEastAsia" w:cstheme="majorEastAsia"/>
          <w:bCs/>
          <w:color w:val="000000" w:themeColor="text1"/>
          <w:sz w:val="24"/>
          <w14:textFill>
            <w14:solidFill>
              <w14:schemeClr w14:val="tx1"/>
            </w14:solidFill>
          </w14:textFill>
        </w:rPr>
        <w:t>测定出来</w:t>
      </w:r>
      <w:r>
        <w:rPr>
          <w:rFonts w:hint="eastAsia" w:asciiTheme="majorEastAsia" w:hAnsiTheme="majorEastAsia" w:eastAsiaTheme="majorEastAsia" w:cstheme="majorEastAsia"/>
          <w:bCs/>
          <w:color w:val="000000" w:themeColor="text1"/>
          <w:sz w:val="24"/>
          <w14:textFill>
            <w14:solidFill>
              <w14:schemeClr w14:val="tx1"/>
            </w14:solidFill>
          </w14:textFill>
        </w:rPr>
        <w:t>，对于把控产品质量、维护商品价值和突破技术性贸易壁垒等方面有着积极促进作用，同时也</w:t>
      </w:r>
      <w:r>
        <w:rPr>
          <w:rFonts w:asciiTheme="majorEastAsia" w:hAnsiTheme="majorEastAsia" w:eastAsiaTheme="majorEastAsia" w:cstheme="majorEastAsia"/>
          <w:bCs/>
          <w:color w:val="000000" w:themeColor="text1"/>
          <w:sz w:val="24"/>
          <w14:textFill>
            <w14:solidFill>
              <w14:schemeClr w14:val="tx1"/>
            </w14:solidFill>
          </w14:textFill>
        </w:rPr>
        <w:t>是一项</w:t>
      </w:r>
      <w:r>
        <w:rPr>
          <w:rFonts w:hint="eastAsia" w:asciiTheme="majorEastAsia" w:hAnsiTheme="majorEastAsia" w:eastAsiaTheme="majorEastAsia" w:cstheme="majorEastAsia"/>
          <w:bCs/>
          <w:color w:val="000000" w:themeColor="text1"/>
          <w:sz w:val="24"/>
          <w14:textFill>
            <w14:solidFill>
              <w14:schemeClr w14:val="tx1"/>
            </w14:solidFill>
          </w14:textFill>
        </w:rPr>
        <w:t>非常重要且有意义的工作。</w:t>
      </w:r>
    </w:p>
    <w:p>
      <w:pPr>
        <w:spacing w:line="440" w:lineRule="exact"/>
        <w:ind w:firstLine="480" w:firstLineChars="200"/>
        <w:rPr>
          <w:rFonts w:asciiTheme="majorEastAsia" w:hAnsiTheme="majorEastAsia" w:eastAsiaTheme="majorEastAsia" w:cstheme="majorEastAsia"/>
          <w:bCs/>
          <w:color w:val="000000" w:themeColor="text1"/>
          <w:sz w:val="24"/>
          <w14:textFill>
            <w14:solidFill>
              <w14:schemeClr w14:val="tx1"/>
            </w14:solidFill>
          </w14:textFill>
        </w:rPr>
      </w:pPr>
    </w:p>
    <w:p>
      <w:pPr>
        <w:tabs>
          <w:tab w:val="left" w:pos="636"/>
        </w:tabs>
        <w:spacing w:line="360" w:lineRule="auto"/>
        <w:rPr>
          <w:rFonts w:ascii="黑体" w:hAnsi="黑体" w:eastAsia="黑体" w:cs="黑体"/>
          <w:sz w:val="24"/>
        </w:rPr>
      </w:pPr>
      <w:r>
        <w:rPr>
          <w:rFonts w:hint="eastAsia" w:ascii="黑体" w:hAnsi="黑体" w:eastAsia="黑体" w:cs="黑体"/>
          <w:sz w:val="24"/>
        </w:rPr>
        <w:t>1.5 国内相关分析方法和文献资料研究</w:t>
      </w:r>
    </w:p>
    <w:p>
      <w:pPr>
        <w:spacing w:line="440" w:lineRule="exact"/>
        <w:ind w:firstLine="480" w:firstLineChars="200"/>
        <w:rPr>
          <w:rFonts w:asciiTheme="majorEastAsia" w:hAnsiTheme="majorEastAsia" w:eastAsiaTheme="majorEastAsia" w:cstheme="majorEastAsia"/>
          <w:bCs/>
          <w:color w:val="000000" w:themeColor="text1"/>
          <w:sz w:val="24"/>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目前测定粗铜中金的方法有很多，有火试金法、原子吸收光谱法、分光光度法、电感耦合等离子体发射光谱法、X荧光光谱法等。</w:t>
      </w:r>
    </w:p>
    <w:p>
      <w:pPr>
        <w:spacing w:line="440" w:lineRule="exact"/>
        <w:ind w:firstLine="480" w:firstLineChars="200"/>
        <w:rPr>
          <w:rFonts w:asciiTheme="majorEastAsia" w:hAnsiTheme="majorEastAsia" w:eastAsiaTheme="majorEastAsia" w:cstheme="majorEastAsia"/>
          <w:bCs/>
          <w:color w:val="000000" w:themeColor="text1"/>
          <w:sz w:val="24"/>
          <w14:textFill>
            <w14:solidFill>
              <w14:schemeClr w14:val="tx1"/>
            </w14:solidFill>
          </w14:textFill>
        </w:rPr>
      </w:pPr>
      <w:r>
        <w:rPr>
          <w:rFonts w:asciiTheme="majorEastAsia" w:hAnsiTheme="majorEastAsia" w:eastAsiaTheme="majorEastAsia" w:cstheme="majorEastAsia"/>
          <w:bCs/>
          <w:color w:val="000000" w:themeColor="text1"/>
          <w:sz w:val="24"/>
          <w14:textFill>
            <w14:solidFill>
              <w14:schemeClr w14:val="tx1"/>
            </w14:solidFill>
          </w14:textFill>
        </w:rPr>
        <w:t>火试金法在测定金含量方面具有悠久的历史，并一向以结果准确、可靠而受到认可，目前仍然是我国乃至国际上公认的测金方法。但是，该方法需要用到专业的超微量天平（感量为0.0001 mg）和试金炉，加之该方法操作繁琐、耗时且易产生有毒元素的挥发物，因此对测试者的技术能力和实验室的硬件都有着较高要求。另外该方法不够灵敏，检出限仅为2 g/t，不能够有效测定低金含量的粗铜样品，所以该方法目前在实验室普遍应用较少。为研究出一种更为便捷、准确且能够满足微量金的测定需求，近年来，国内外相继开发了许多方法，在金的前处理方面，即金的分离和富集方面主要有火试金分离、活性炭吸附、泡沫塑料和离子交换吸附等方法，而在检测方面则采用分光光度法、原子吸收光谱法、电感耦合等离子体发射光谱法、X荧光光谱法等。Iwao Tsukahara在1977年首次采用了4,4 ' -双（二甲氨基）-硫苯甲酮萃取分光光度法测定银、铅、泡铜、铜精矿和阳极泥中的金，由于分光光度法的检出限过高，不能有效检测出低含量的金，因此目前已经很少使用。LONG-Haizhen和杨红玉研究了电感耦合等离子体发射光谱法测定粗铜中的金，但是电感耦合等离子体发射光谱仪易受其他元素干扰而影响检测结果，故目前该方法也未得到普遍使用。另外孙珂研究了X荧光光谱法对粗铜中的金含量直接进行测试，但是在测试前需要用车床和抛光机对粗铜样品进行打磨，因为样品表面的打磨的光滑程度会直接影响X荧光强度的大小，此外标准曲线也需要不同金含量的粗铜标准样品的实物来建立，基于这两点原因，目前使用率也不高。在这些方法之中，原子吸收光谱法，尤其是火焰原子吸收光谱法仍然是测定矿物及地质样品中金属元素的常见方法。原子吸收光谱法因具有灵敏度高、分析精度高、分析速度快、应用范围广等优点被广泛运用到金的测定中，目前报道较多的有活性炭吸附-原子吸收法、泡塑吸附-原子吸收法和离子交换树脂吸附-原子吸收法</w:t>
      </w:r>
      <w:r>
        <w:rPr>
          <w:rFonts w:hint="eastAsia" w:asciiTheme="majorEastAsia" w:hAnsiTheme="majorEastAsia" w:eastAsiaTheme="majorEastAsia" w:cstheme="majorEastAsia"/>
          <w:bCs/>
          <w:color w:val="000000" w:themeColor="text1"/>
          <w:sz w:val="24"/>
          <w14:textFill>
            <w14:solidFill>
              <w14:schemeClr w14:val="tx1"/>
            </w14:solidFill>
          </w14:textFill>
        </w:rPr>
        <w:t>。但是活性炭吸附和泡塑吸附虽然可满足低金含量样品的测定，但是在前处理方面，即金的分离富集方面还存在着诸如吸附效率低、吸附时间长、特异性差或易受其他元素干扰等弊端。因相较而言，这其中以</w:t>
      </w:r>
      <w:r>
        <w:rPr>
          <w:rFonts w:asciiTheme="majorEastAsia" w:hAnsiTheme="majorEastAsia" w:eastAsiaTheme="majorEastAsia" w:cstheme="majorEastAsia"/>
          <w:bCs/>
          <w:color w:val="000000" w:themeColor="text1"/>
          <w:sz w:val="24"/>
          <w14:textFill>
            <w14:solidFill>
              <w14:schemeClr w14:val="tx1"/>
            </w14:solidFill>
          </w14:textFill>
        </w:rPr>
        <w:t>离子交换树脂吸附</w:t>
      </w:r>
      <w:r>
        <w:rPr>
          <w:rFonts w:hint="eastAsia" w:asciiTheme="majorEastAsia" w:hAnsiTheme="majorEastAsia" w:eastAsiaTheme="majorEastAsia" w:cstheme="majorEastAsia"/>
          <w:bCs/>
          <w:color w:val="000000" w:themeColor="text1"/>
          <w:sz w:val="24"/>
          <w14:textFill>
            <w14:solidFill>
              <w14:schemeClr w14:val="tx1"/>
            </w14:solidFill>
          </w14:textFill>
        </w:rPr>
        <w:t>法为最优。</w:t>
      </w:r>
    </w:p>
    <w:p>
      <w:pPr>
        <w:spacing w:line="440" w:lineRule="exact"/>
        <w:ind w:firstLine="480" w:firstLineChars="200"/>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离子交换树脂吸附由于分离效率高、设备投入少、操作简单，树脂可再生和反复使用，无环境污染，是一种“绿色”的分离和提取技术，已被广泛地运用到金等贵金属的分离和富集中。离子交换吸附法是一种可逆的化学反应，其过程涉及液相中的自由离子和固相官能团上离子之间的交换作用。当液相中的某些离子与固相官能团上离子有较高的亲和力时，它们就会被固相吸附。与此同时，离子交换固相必须释放出等价的离子到回溶液中，才能保障和维持水溶液中的电荷平衡。离子交换树脂吸附-原子吸收光谱法测金通常采用强碱性阴离子交换树脂（201×7 型强碱性苯乙烯系阴离子交换树脂、60目-80目）进行分离和提取，其作用机理是阴离子交换树脂在苯乙烯-二乙烯苯共聚交联结构的高分子基体上带有季胺基〔-N（CH</w:t>
      </w:r>
      <w:r>
        <w:rPr>
          <w:rFonts w:ascii="Times New Roman" w:hAnsi="Times New Roman" w:cs="Times New Roman" w:eastAsiaTheme="majorEastAsia"/>
          <w:bCs/>
          <w:color w:val="000000" w:themeColor="text1"/>
          <w:sz w:val="24"/>
          <w:vertAlign w:val="subscript"/>
          <w14:textFill>
            <w14:solidFill>
              <w14:schemeClr w14:val="tx1"/>
            </w14:solidFill>
          </w14:textFill>
        </w:rPr>
        <w:t>3</w:t>
      </w:r>
      <w:r>
        <w:rPr>
          <w:rFonts w:ascii="Times New Roman" w:hAnsi="Times New Roman" w:cs="Times New Roman" w:eastAsiaTheme="majorEastAsia"/>
          <w:bCs/>
          <w:color w:val="000000" w:themeColor="text1"/>
          <w:sz w:val="24"/>
          <w14:textFill>
            <w14:solidFill>
              <w14:schemeClr w14:val="tx1"/>
            </w14:solidFill>
          </w14:textFill>
        </w:rPr>
        <w:t>）</w:t>
      </w:r>
      <w:r>
        <w:rPr>
          <w:rFonts w:ascii="Times New Roman" w:hAnsi="Times New Roman" w:cs="Times New Roman" w:eastAsiaTheme="majorEastAsia"/>
          <w:bCs/>
          <w:color w:val="000000" w:themeColor="text1"/>
          <w:sz w:val="24"/>
          <w:vertAlign w:val="subscript"/>
          <w14:textFill>
            <w14:solidFill>
              <w14:schemeClr w14:val="tx1"/>
            </w14:solidFill>
          </w14:textFill>
        </w:rPr>
        <w:t>3</w:t>
      </w:r>
      <w:r>
        <w:rPr>
          <w:rFonts w:ascii="Times New Roman" w:hAnsi="Times New Roman" w:cs="Times New Roman" w:eastAsiaTheme="majorEastAsia"/>
          <w:bCs/>
          <w:color w:val="000000" w:themeColor="text1"/>
          <w:sz w:val="24"/>
          <w14:textFill>
            <w14:solidFill>
              <w14:schemeClr w14:val="tx1"/>
            </w14:solidFill>
          </w14:textFill>
        </w:rPr>
        <w:t>〕的活性基团，在水中能生成OH-离子，可以与各种阴离子发生交换作用，其交换容量可达3.0 mmol/g。离子交换树脂的结构模型如图1-2所示。金被王水溶解后，在溶液中以金络阴离子（AuCl4</w:t>
      </w:r>
      <w:r>
        <w:rPr>
          <w:rFonts w:ascii="Times New Roman" w:hAnsi="Times New Roman" w:cs="Times New Roman" w:eastAsiaTheme="majorEastAsia"/>
          <w:bCs/>
          <w:color w:val="000000" w:themeColor="text1"/>
          <w:sz w:val="24"/>
          <w:vertAlign w:val="superscript"/>
          <w14:textFill>
            <w14:solidFill>
              <w14:schemeClr w14:val="tx1"/>
            </w14:solidFill>
          </w14:textFill>
        </w:rPr>
        <w:t>-</w:t>
      </w:r>
      <w:r>
        <w:rPr>
          <w:rFonts w:ascii="Times New Roman" w:hAnsi="Times New Roman" w:cs="Times New Roman" w:eastAsiaTheme="majorEastAsia"/>
          <w:bCs/>
          <w:color w:val="000000" w:themeColor="text1"/>
          <w:sz w:val="24"/>
          <w14:textFill>
            <w14:solidFill>
              <w14:schemeClr w14:val="tx1"/>
            </w14:solidFill>
          </w14:textFill>
        </w:rPr>
        <w:t>）形式存在，能够被树脂吸附发生离子交换，并与待测溶液中的其他金属阳离子分离，从而达到分离富集的目的。</w:t>
      </w:r>
    </w:p>
    <w:p>
      <w:pPr>
        <w:spacing w:line="440" w:lineRule="exact"/>
        <w:ind w:firstLine="480" w:firstLineChars="200"/>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离子交换树脂吸附-原子吸收法已在水质、地质、矿产及化工品领域得到了广泛的应用，王明双采用717型阴离子交换树脂吸附了高盐废水中的金，并使吸附效率达到了95%以上。姜玉春、咎敏娇等分别采用了阴离子交换树脂测定了金精矿、尾矿中的金，且方法的准确度较高。姜玉春的回收率达到了95%~108%，最大精密度为7.2%，咎敏娇的回收率进一步提高到96%~107%，并且将检出限做到0.43 μg/mL，这表明该方法能够满足低金含量的测定。周陶鸿则进一步将阴离子交换树脂制成了固相萃取小柱，并应用到粗铜中金的测定，其精密度RSD小于3.5%，回收率在95%以上。因此离子交换树脂吸附-原子吸收光谱法适合于粗铜样品的检测。</w:t>
      </w:r>
    </w:p>
    <w:p>
      <w:pPr>
        <w:spacing w:line="440" w:lineRule="exact"/>
        <w:ind w:firstLine="480" w:firstLineChars="200"/>
        <w:rPr>
          <w:rFonts w:ascii="Times New Roman" w:hAnsi="Times New Roman" w:cs="Times New Roman" w:eastAsiaTheme="majorEastAsia"/>
          <w:bCs/>
          <w:color w:val="000000" w:themeColor="text1"/>
          <w:sz w:val="24"/>
          <w14:textFill>
            <w14:solidFill>
              <w14:schemeClr w14:val="tx1"/>
            </w14:solidFill>
          </w14:textFill>
        </w:rPr>
      </w:pPr>
    </w:p>
    <w:p>
      <w:pPr>
        <w:tabs>
          <w:tab w:val="left" w:pos="636"/>
        </w:tabs>
        <w:spacing w:line="360" w:lineRule="auto"/>
        <w:rPr>
          <w:rFonts w:ascii="黑体" w:hAnsi="黑体" w:eastAsia="黑体" w:cs="黑体"/>
          <w:sz w:val="24"/>
        </w:rPr>
      </w:pPr>
      <w:r>
        <w:rPr>
          <w:rFonts w:hint="eastAsia" w:ascii="黑体" w:hAnsi="黑体" w:eastAsia="黑体" w:cs="黑体"/>
          <w:sz w:val="24"/>
        </w:rPr>
        <w:t>1.6 技术路线图</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综上所述，在总结前人工作方法的基础上，结合工作实践经验，本标准初步确定了以下技术研究路线，如下图所示，即主要的流程是称样→高温焙烧→王水溶解→离子交换→灰化定容→火焰原子吸收光谱仪测定→方法验证→方法建立。由于仪器条件是保障实验结果准确与否的先决条件，因此在实际工作中首先需要从仪器测定方面入手，即先研究火焰原子吸收光谱仪的最适参数条件并建立校准曲线，以保障后续的研究实验能够顺利出具检测数据；接下来再研究本方法的核心环节，即离子交换环节，需要摸清离子交换的最适条件和影响因素，以保障金的吸附效率能够满足粗铜中金的测定要求，最后再研究前处理的各个环节，包括称样、王水溶解对检测结果的影响。最后进行方法学验证，开展检出限、精密度、回收率和方法比对的研究。</w:t>
      </w:r>
    </w:p>
    <w:p>
      <w:pPr>
        <w:spacing w:line="360" w:lineRule="auto"/>
        <w:ind w:firstLine="420" w:firstLineChars="200"/>
        <w:jc w:val="center"/>
        <w:rPr>
          <w:rFonts w:hint="eastAsia" w:ascii="黑体" w:hAnsi="黑体" w:eastAsia="黑体" w:cs="黑体"/>
          <w:sz w:val="24"/>
          <w:szCs w:val="24"/>
        </w:rPr>
      </w:pPr>
      <w:r>
        <w:drawing>
          <wp:anchor distT="0" distB="0" distL="114300" distR="114300" simplePos="0" relativeHeight="251664384" behindDoc="0" locked="0" layoutInCell="1" allowOverlap="1">
            <wp:simplePos x="0" y="0"/>
            <wp:positionH relativeFrom="column">
              <wp:posOffset>1267460</wp:posOffset>
            </wp:positionH>
            <wp:positionV relativeFrom="paragraph">
              <wp:posOffset>117475</wp:posOffset>
            </wp:positionV>
            <wp:extent cx="2664460" cy="3915410"/>
            <wp:effectExtent l="0" t="0" r="2540" b="889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2664460" cy="3915410"/>
                    </a:xfrm>
                    <a:prstGeom prst="rect">
                      <a:avLst/>
                    </a:prstGeom>
                    <a:noFill/>
                    <a:ln>
                      <a:noFill/>
                    </a:ln>
                  </pic:spPr>
                </pic:pic>
              </a:graphicData>
            </a:graphic>
          </wp:anchor>
        </w:drawing>
      </w:r>
      <w:r>
        <w:rPr>
          <w:rFonts w:hint="eastAsia" w:ascii="黑体" w:hAnsi="黑体" w:eastAsia="黑体" w:cs="黑体"/>
          <w:sz w:val="24"/>
          <w:szCs w:val="24"/>
        </w:rPr>
        <w:t>图1 技术路线图</w:t>
      </w:r>
    </w:p>
    <w:p>
      <w:pPr>
        <w:spacing w:line="440" w:lineRule="exact"/>
        <w:ind w:firstLine="480" w:firstLineChars="200"/>
        <w:jc w:val="center"/>
        <w:rPr>
          <w:rFonts w:ascii="Times New Roman" w:hAnsi="Times New Roman" w:cs="Times New Roman" w:eastAsiaTheme="majorEastAsia"/>
          <w:bCs/>
          <w:color w:val="000000" w:themeColor="text1"/>
          <w:sz w:val="24"/>
          <w14:textFill>
            <w14:solidFill>
              <w14:schemeClr w14:val="tx1"/>
            </w14:solidFill>
          </w14:textFill>
        </w:rPr>
      </w:pPr>
    </w:p>
    <w:p>
      <w:pPr>
        <w:numPr>
          <w:ilvl w:val="0"/>
          <w:numId w:val="2"/>
        </w:numPr>
        <w:tabs>
          <w:tab w:val="left" w:pos="636"/>
        </w:tabs>
        <w:spacing w:line="360" w:lineRule="auto"/>
        <w:rPr>
          <w:rFonts w:ascii="黑体" w:hAnsi="黑体" w:eastAsia="黑体" w:cs="黑体"/>
          <w:sz w:val="28"/>
          <w:szCs w:val="28"/>
        </w:rPr>
      </w:pPr>
      <w:r>
        <w:rPr>
          <w:rFonts w:hint="eastAsia" w:ascii="黑体" w:hAnsi="黑体" w:eastAsia="黑体" w:cs="黑体"/>
          <w:sz w:val="28"/>
          <w:szCs w:val="28"/>
        </w:rPr>
        <w:t>主要内容</w:t>
      </w:r>
    </w:p>
    <w:p>
      <w:pPr>
        <w:spacing w:line="440" w:lineRule="exact"/>
        <w:jc w:val="left"/>
        <w:rPr>
          <w:rFonts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2.1 范围</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本文件规定了火焰原子吸收光谱法测定粗铜中金含量的方法。</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本文件适用于粗铜中金的测定。测定范围：0.2 g/t~40 g/t。</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p>
    <w:p>
      <w:pPr>
        <w:spacing w:line="440" w:lineRule="exact"/>
        <w:jc w:val="left"/>
        <w:rPr>
          <w:rFonts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2.2 规范性引用文件</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下列文件对于本文件的应用是必不可少的。凡是注日期的引用文件，仅所注日期的版本适用于本文件。凡是不注日期的引用文件，其最新版本（包括所有的修改单）适用于本文件。</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GB/T 6682 分析实验室用水规格和试验方法</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p>
    <w:p>
      <w:pPr>
        <w:spacing w:line="440" w:lineRule="exact"/>
        <w:jc w:val="left"/>
        <w:rPr>
          <w:rFonts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 xml:space="preserve">2.3 </w:t>
      </w:r>
      <w:r>
        <w:rPr>
          <w:rFonts w:ascii="黑体" w:hAnsi="黑体" w:eastAsia="黑体" w:cs="黑体"/>
          <w:bCs/>
          <w:color w:val="000000" w:themeColor="text1"/>
          <w:sz w:val="24"/>
          <w14:textFill>
            <w14:solidFill>
              <w14:schemeClr w14:val="tx1"/>
            </w14:solidFill>
          </w14:textFill>
        </w:rPr>
        <w:t>原理</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试样经高温焙烧除去杂质后，用王水分解，使金转变成络阴离子（AuCl4-），经过阴离子交换柱使金富集于树脂上。树脂经灰化，稀盐酸溶解后导入火焰原子吸收分光光度计中进行测定。</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p>
    <w:p>
      <w:pPr>
        <w:spacing w:line="440" w:lineRule="exact"/>
        <w:jc w:val="left"/>
        <w:rPr>
          <w:rFonts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 xml:space="preserve">2.4 </w:t>
      </w:r>
      <w:r>
        <w:rPr>
          <w:rFonts w:ascii="黑体" w:hAnsi="黑体" w:eastAsia="黑体" w:cs="黑体"/>
          <w:bCs/>
          <w:color w:val="000000" w:themeColor="text1"/>
          <w:sz w:val="24"/>
          <w14:textFill>
            <w14:solidFill>
              <w14:schemeClr w14:val="tx1"/>
            </w14:solidFill>
          </w14:textFill>
        </w:rPr>
        <w:t>试剂</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本文件所用试剂和水，在没有注明其他要求时，均指分析纯试剂和GB/T 6682中规定的三级水。</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4.1  金属金（Au≥99.99%）。</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4.2  氯化钠。</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4.3  盐酸。</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4.4  硝酸。</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4.5  乙醇（95%）。</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4.6  稀盐酸（1+9）。</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4.7  王水：将3份盐酸（4.3）和1份硝酸（4.4）混合，用时配制。</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4.8  氯化钠溶液（100 g/L）：称取10 g氯化钠（4.2），加水溶解并定容到100 mL。</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4.9  金标准溶液（100 0 μg/mL）：称取0.100 0 g金属金（4.1）于50 mL烧杯中，加入5 mL王水（4.7），盖上表面皿加热溶解完全。冲洗并移去表面皿，加0.1 g氯化钠（4.2），蒸至近干。冷却，用稀盐酸（4.6）转移并定容至100 mL棕色容量瓶中。</w:t>
      </w:r>
    </w:p>
    <w:p>
      <w:pPr>
        <w:spacing w:line="440" w:lineRule="exact"/>
        <w:ind w:firstLine="440" w:firstLineChars="200"/>
        <w:jc w:val="left"/>
        <w:rPr>
          <w:rFonts w:ascii="Times New Roman" w:hAnsi="Times New Roman" w:cs="Times New Roman" w:eastAsiaTheme="majorEastAsia"/>
          <w:bCs/>
          <w:color w:val="000000" w:themeColor="text1"/>
          <w:sz w:val="22"/>
          <w:szCs w:val="22"/>
          <w14:textFill>
            <w14:solidFill>
              <w14:schemeClr w14:val="tx1"/>
            </w14:solidFill>
          </w14:textFill>
        </w:rPr>
      </w:pPr>
      <w:r>
        <w:rPr>
          <w:rFonts w:ascii="Times New Roman" w:hAnsi="Times New Roman" w:cs="Times New Roman" w:eastAsiaTheme="majorEastAsia"/>
          <w:bCs/>
          <w:color w:val="000000" w:themeColor="text1"/>
          <w:sz w:val="22"/>
          <w:szCs w:val="22"/>
          <w14:textFill>
            <w14:solidFill>
              <w14:schemeClr w14:val="tx1"/>
            </w14:solidFill>
          </w14:textFill>
        </w:rPr>
        <w:t>注1：也可购买市售有证标准物质。</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4.10  金标准储备溶液（100 μg/mL）：移取10 mL金标准溶液（4.9）于100 mL容量瓶中，用稀盐酸（4.6）稀释至刻度，混匀。</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4.11  阴离子交换树脂：201×7（717）型强碱性苯乙烯系阴离子交换树脂（0.3 mm-1.2 mm），用前先用乙醇（4.5）洗涤３次，再用水洗涤三次。</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p>
    <w:p>
      <w:pPr>
        <w:spacing w:line="440" w:lineRule="exact"/>
        <w:jc w:val="left"/>
        <w:rPr>
          <w:rFonts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 xml:space="preserve">2.5 </w:t>
      </w:r>
      <w:r>
        <w:rPr>
          <w:rFonts w:ascii="黑体" w:hAnsi="黑体" w:eastAsia="黑体" w:cs="黑体"/>
          <w:bCs/>
          <w:color w:val="000000" w:themeColor="text1"/>
          <w:sz w:val="24"/>
          <w14:textFill>
            <w14:solidFill>
              <w14:schemeClr w14:val="tx1"/>
            </w14:solidFill>
          </w14:textFill>
        </w:rPr>
        <w:t>仪器</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5.1  火焰原子吸收光谱仪，附金空心阴极灯，采用氘灯矫正背景。仪器工作条件</w:t>
      </w:r>
      <w:r>
        <w:rPr>
          <w:rFonts w:hint="eastAsia" w:ascii="Times New Roman" w:hAnsi="Times New Roman" w:cs="Times New Roman" w:eastAsiaTheme="majorEastAsia"/>
          <w:bCs/>
          <w:color w:val="000000" w:themeColor="text1"/>
          <w:sz w:val="24"/>
          <w14:textFill>
            <w14:solidFill>
              <w14:schemeClr w14:val="tx1"/>
            </w14:solidFill>
          </w14:textFill>
        </w:rPr>
        <w:t>见下表</w:t>
      </w:r>
      <w:r>
        <w:rPr>
          <w:rFonts w:ascii="Times New Roman" w:hAnsi="Times New Roman" w:cs="Times New Roman" w:eastAsiaTheme="majorEastAsia"/>
          <w:bCs/>
          <w:color w:val="000000" w:themeColor="text1"/>
          <w:sz w:val="24"/>
          <w14:textFill>
            <w14:solidFill>
              <w14:schemeClr w14:val="tx1"/>
            </w14:solidFill>
          </w14:textFill>
        </w:rPr>
        <w:t>。</w:t>
      </w:r>
    </w:p>
    <w:p>
      <w:pPr>
        <w:spacing w:line="360" w:lineRule="auto"/>
        <w:ind w:firstLine="480" w:firstLineChars="200"/>
        <w:jc w:val="center"/>
        <w:rPr>
          <w:rFonts w:hint="eastAsia" w:ascii="黑体" w:hAnsi="黑体" w:eastAsia="黑体" w:cs="黑体"/>
          <w:sz w:val="24"/>
          <w:szCs w:val="24"/>
        </w:rPr>
      </w:pPr>
      <w:r>
        <w:rPr>
          <w:rFonts w:hint="eastAsia" w:ascii="黑体" w:hAnsi="黑体" w:eastAsia="黑体" w:cs="黑体"/>
          <w:sz w:val="24"/>
          <w:szCs w:val="24"/>
        </w:rPr>
        <w:t>表1 仪器工作条件表</w:t>
      </w:r>
    </w:p>
    <w:tbl>
      <w:tblPr>
        <w:tblStyle w:val="7"/>
        <w:tblW w:w="9540" w:type="dxa"/>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70"/>
        <w:gridCol w:w="4770"/>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4770" w:type="dxa"/>
            <w:tcBorders>
              <w:bottom w:val="single" w:color="auto" w:sz="6" w:space="0"/>
            </w:tcBorders>
          </w:tcPr>
          <w:p>
            <w:pPr>
              <w:autoSpaceDE w:val="0"/>
              <w:autoSpaceDN w:val="0"/>
              <w:jc w:val="center"/>
              <w:rPr>
                <w:rFonts w:ascii="Times New Roman" w:hAnsi="Times New Roman" w:eastAsia="宋体" w:cs="Times New Roman"/>
              </w:rPr>
            </w:pPr>
            <w:r>
              <w:rPr>
                <w:rFonts w:ascii="Times New Roman" w:hAnsi="Times New Roman" w:eastAsia="宋体" w:cs="Times New Roman"/>
              </w:rPr>
              <w:t>灯电流（mA）</w:t>
            </w:r>
          </w:p>
        </w:tc>
        <w:tc>
          <w:tcPr>
            <w:tcW w:w="4770" w:type="dxa"/>
            <w:tcBorders>
              <w:bottom w:val="single" w:color="auto" w:sz="6" w:space="0"/>
            </w:tcBorders>
          </w:tcPr>
          <w:p>
            <w:pPr>
              <w:autoSpaceDE w:val="0"/>
              <w:autoSpaceDN w:val="0"/>
              <w:jc w:val="center"/>
              <w:rPr>
                <w:rFonts w:ascii="Times New Roman" w:hAnsi="Times New Roman" w:eastAsia="宋体" w:cs="Times New Roman"/>
              </w:rPr>
            </w:pPr>
            <w:r>
              <w:rPr>
                <w:rFonts w:ascii="Times New Roman" w:hAnsi="Times New Roman" w:eastAsia="宋体" w:cs="Times New Roman"/>
              </w:rPr>
              <w:t>10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4770" w:type="dxa"/>
            <w:tcBorders>
              <w:top w:val="single" w:color="auto" w:sz="6" w:space="0"/>
              <w:tl2br w:val="nil"/>
              <w:tr2bl w:val="nil"/>
            </w:tcBorders>
          </w:tcPr>
          <w:p>
            <w:pPr>
              <w:autoSpaceDE w:val="0"/>
              <w:autoSpaceDN w:val="0"/>
              <w:jc w:val="center"/>
              <w:rPr>
                <w:rFonts w:ascii="Times New Roman" w:hAnsi="Times New Roman" w:eastAsia="宋体" w:cs="Times New Roman"/>
              </w:rPr>
            </w:pPr>
            <w:r>
              <w:rPr>
                <w:rFonts w:ascii="Times New Roman" w:hAnsi="Times New Roman" w:eastAsia="宋体" w:cs="Times New Roman"/>
              </w:rPr>
              <w:t>测定波长（nm）</w:t>
            </w:r>
          </w:p>
        </w:tc>
        <w:tc>
          <w:tcPr>
            <w:tcW w:w="4770" w:type="dxa"/>
            <w:tcBorders>
              <w:top w:val="single" w:color="auto" w:sz="6" w:space="0"/>
              <w:tl2br w:val="nil"/>
              <w:tr2bl w:val="nil"/>
            </w:tcBorders>
          </w:tcPr>
          <w:p>
            <w:pPr>
              <w:autoSpaceDE w:val="0"/>
              <w:autoSpaceDN w:val="0"/>
              <w:jc w:val="center"/>
              <w:rPr>
                <w:rFonts w:ascii="Times New Roman" w:hAnsi="Times New Roman" w:eastAsia="宋体" w:cs="Times New Roman"/>
              </w:rPr>
            </w:pPr>
            <w:r>
              <w:rPr>
                <w:rFonts w:ascii="Times New Roman" w:hAnsi="Times New Roman" w:eastAsia="宋体" w:cs="Times New Roman"/>
              </w:rPr>
              <w:t>242.8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4770" w:type="dxa"/>
            <w:tcBorders>
              <w:tl2br w:val="nil"/>
              <w:tr2bl w:val="nil"/>
            </w:tcBorders>
          </w:tcPr>
          <w:p>
            <w:pPr>
              <w:autoSpaceDE w:val="0"/>
              <w:autoSpaceDN w:val="0"/>
              <w:jc w:val="center"/>
              <w:rPr>
                <w:rFonts w:ascii="Times New Roman" w:hAnsi="Times New Roman" w:eastAsia="宋体" w:cs="Times New Roman"/>
              </w:rPr>
            </w:pPr>
            <w:r>
              <w:rPr>
                <w:rFonts w:ascii="Times New Roman" w:hAnsi="Times New Roman" w:eastAsia="宋体" w:cs="Times New Roman"/>
              </w:rPr>
              <w:t>狭缝宽度（nm）</w:t>
            </w:r>
          </w:p>
        </w:tc>
        <w:tc>
          <w:tcPr>
            <w:tcW w:w="4770" w:type="dxa"/>
            <w:tcBorders>
              <w:tl2br w:val="nil"/>
              <w:tr2bl w:val="nil"/>
            </w:tcBorders>
          </w:tcPr>
          <w:p>
            <w:pPr>
              <w:autoSpaceDE w:val="0"/>
              <w:autoSpaceDN w:val="0"/>
              <w:jc w:val="center"/>
              <w:rPr>
                <w:rFonts w:ascii="Times New Roman" w:hAnsi="Times New Roman" w:eastAsia="宋体" w:cs="Times New Roman"/>
              </w:rPr>
            </w:pPr>
            <w:r>
              <w:rPr>
                <w:rFonts w:ascii="Times New Roman" w:hAnsi="Times New Roman" w:eastAsia="宋体" w:cs="Times New Roman"/>
              </w:rPr>
              <w:t>0.7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4770" w:type="dxa"/>
            <w:tcBorders>
              <w:tl2br w:val="nil"/>
              <w:tr2bl w:val="nil"/>
            </w:tcBorders>
          </w:tcPr>
          <w:p>
            <w:pPr>
              <w:autoSpaceDE w:val="0"/>
              <w:autoSpaceDN w:val="0"/>
              <w:jc w:val="center"/>
              <w:rPr>
                <w:rFonts w:ascii="Times New Roman" w:hAnsi="Times New Roman" w:eastAsia="宋体" w:cs="Times New Roman"/>
              </w:rPr>
            </w:pPr>
            <w:r>
              <w:rPr>
                <w:rFonts w:ascii="Times New Roman" w:hAnsi="Times New Roman" w:eastAsia="宋体" w:cs="Times New Roman"/>
              </w:rPr>
              <w:t>燃烧头高度（mm）</w:t>
            </w:r>
          </w:p>
        </w:tc>
        <w:tc>
          <w:tcPr>
            <w:tcW w:w="4770" w:type="dxa"/>
            <w:tcBorders>
              <w:tl2br w:val="nil"/>
              <w:tr2bl w:val="nil"/>
            </w:tcBorders>
          </w:tcPr>
          <w:p>
            <w:pPr>
              <w:autoSpaceDE w:val="0"/>
              <w:autoSpaceDN w:val="0"/>
              <w:jc w:val="center"/>
              <w:rPr>
                <w:rFonts w:ascii="Times New Roman" w:hAnsi="Times New Roman" w:eastAsia="宋体" w:cs="Times New Roman"/>
              </w:rPr>
            </w:pPr>
            <w:r>
              <w:rPr>
                <w:rFonts w:ascii="Times New Roman" w:hAnsi="Times New Roman" w:eastAsia="宋体" w:cs="Times New Roman"/>
              </w:rPr>
              <w:t>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 w:hRule="atLeast"/>
        </w:trPr>
        <w:tc>
          <w:tcPr>
            <w:tcW w:w="4770" w:type="dxa"/>
            <w:tcBorders>
              <w:tl2br w:val="nil"/>
              <w:tr2bl w:val="nil"/>
            </w:tcBorders>
          </w:tcPr>
          <w:p>
            <w:pPr>
              <w:autoSpaceDE w:val="0"/>
              <w:autoSpaceDN w:val="0"/>
              <w:jc w:val="center"/>
              <w:rPr>
                <w:rFonts w:ascii="Times New Roman" w:hAnsi="Times New Roman" w:eastAsia="宋体" w:cs="Times New Roman"/>
              </w:rPr>
            </w:pPr>
            <w:r>
              <w:rPr>
                <w:rFonts w:ascii="Times New Roman" w:hAnsi="Times New Roman" w:eastAsia="宋体" w:cs="Times New Roman"/>
              </w:rPr>
              <w:t>乙炔流量（L/min）</w:t>
            </w:r>
          </w:p>
        </w:tc>
        <w:tc>
          <w:tcPr>
            <w:tcW w:w="4770" w:type="dxa"/>
            <w:tcBorders>
              <w:tl2br w:val="nil"/>
              <w:tr2bl w:val="nil"/>
            </w:tcBorders>
          </w:tcPr>
          <w:p>
            <w:pPr>
              <w:autoSpaceDE w:val="0"/>
              <w:autoSpaceDN w:val="0"/>
              <w:jc w:val="center"/>
              <w:rPr>
                <w:rFonts w:ascii="Times New Roman" w:hAnsi="Times New Roman" w:eastAsia="宋体" w:cs="Times New Roman"/>
              </w:rPr>
            </w:pPr>
            <w:r>
              <w:rPr>
                <w:rFonts w:ascii="Times New Roman" w:hAnsi="Times New Roman" w:eastAsia="宋体" w:cs="Times New Roman"/>
              </w:rPr>
              <w:t>1.5</w:t>
            </w:r>
          </w:p>
        </w:tc>
      </w:tr>
    </w:tbl>
    <w:p>
      <w:pPr>
        <w:spacing w:line="440" w:lineRule="exact"/>
        <w:ind w:firstLine="480" w:firstLineChars="200"/>
        <w:jc w:val="left"/>
        <w:rPr>
          <w:rFonts w:hint="eastAsia" w:ascii="Times New Roman" w:hAnsi="Times New Roman" w:cs="Times New Roman" w:eastAsiaTheme="majorEastAsia"/>
          <w:bCs/>
          <w:color w:val="000000" w:themeColor="text1"/>
          <w:sz w:val="24"/>
          <w14:textFill>
            <w14:solidFill>
              <w14:schemeClr w14:val="tx1"/>
            </w14:solidFill>
          </w14:textFill>
        </w:rPr>
      </w:pP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5.2  高温炉，温度可控制在500℃～100 0℃的范围。</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5.3  分析天平，精度0.000 1 g。</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5.4  电热板。</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5.5  电炉。</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5.6  瓷坩埚，容积为50 mL。</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5.7  阴离子交换装置，详细信息见附录A。</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p>
    <w:p>
      <w:pPr>
        <w:spacing w:line="440" w:lineRule="exact"/>
        <w:jc w:val="left"/>
        <w:rPr>
          <w:rFonts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2.</w:t>
      </w:r>
      <w:r>
        <w:rPr>
          <w:rFonts w:ascii="黑体" w:hAnsi="黑体" w:eastAsia="黑体" w:cs="黑体"/>
          <w:bCs/>
          <w:color w:val="000000" w:themeColor="text1"/>
          <w:sz w:val="24"/>
          <w14:textFill>
            <w14:solidFill>
              <w14:schemeClr w14:val="tx1"/>
            </w14:solidFill>
          </w14:textFill>
        </w:rPr>
        <w:t>6</w:t>
      </w:r>
      <w:r>
        <w:rPr>
          <w:rFonts w:hint="eastAsia" w:ascii="黑体" w:hAnsi="黑体" w:eastAsia="黑体" w:cs="黑体"/>
          <w:bCs/>
          <w:color w:val="000000" w:themeColor="text1"/>
          <w:sz w:val="24"/>
          <w14:textFill>
            <w14:solidFill>
              <w14:schemeClr w14:val="tx1"/>
            </w14:solidFill>
          </w14:textFill>
        </w:rPr>
        <w:t xml:space="preserve"> </w:t>
      </w:r>
      <w:r>
        <w:rPr>
          <w:rFonts w:ascii="黑体" w:hAnsi="黑体" w:eastAsia="黑体" w:cs="黑体"/>
          <w:bCs/>
          <w:color w:val="000000" w:themeColor="text1"/>
          <w:sz w:val="24"/>
          <w14:textFill>
            <w14:solidFill>
              <w14:schemeClr w14:val="tx1"/>
            </w14:solidFill>
          </w14:textFill>
        </w:rPr>
        <w:t>分析步骤</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6.1  试料</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按照筛分后的质量比，合称试样5 g，精确到0.000 1g。若试样中金含量＜10 g/t，可提高称样量至10 g，精确到0.000 1g。</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6.2  空白试验</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随同试料做空白试验。</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6.3  试料制备</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6.3.1  试料处理</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将试料（</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6.1）置于垫有滤纸的瓷坩埚（</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5.6）中，在电炉上加热至无烟冒出，再放入650℃高温中焙烧2 h，取出冷却至室温。将试料移入至500 mL三角烧杯中，并用50 mL射水清洗瓷舟，洗液并入烧杯。再加入80 mL王水（</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4.7），盖上表面皿，先在电热板上低温加热微沸约1.5 h，然后高温蒸至约10 mL。取下冷却至无棕色烟冒出，加入约50 mL稀盐酸（</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4.6）微热使盐类溶解，然后转移至100 mL容量瓶中，并用稀盐酸（</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4.6）定容至标线。</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6.3.2  交换富集</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在阴离子交换装置（</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5.8）的漏斗内加入约50 mL水，并缓慢加入约1.5 g阴离子交换树脂（</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4.11），开启装置下端阀门，使树脂随水流自由沉降填充。待沉降完毕后，在树脂顶端塞入少量脱脂棉。然后缓慢沿漏斗加入约50 mL稀盐酸（</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4.6），供后续离子交换使用。</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将</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6.3.1中试料溶液用中速定量滤纸过滤，弃去开始的20 mL，继续过滤，准确移取50.00 mL滤液，缓慢加入到阴离子交换装置（</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5.8）的漏斗中，开启装置下端阀门，控制流速在2 mL/min左右。待溶液滴尽后，再用稀盐酸（</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4.6）洗涤漏斗3次，每次约10 mL。</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6.3.3  灰化定容</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取下交换柱（</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6.3.2），将装置下端阀门完全开启，并用少量稀盐酸（</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4.7）反向将树脂及脱脂棉冲入滤纸中，滤干包好，放入瓷坩埚（</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5.6）中，先在电炉上低温炭化，然后置于650℃高温炉中灰化完全。取出冷却至室温，先加入4滴氯化钠溶液（</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4.8）润湿，再加入5 mL王水（</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4.7），在电热板上低温蒸至约0.5 mL，勿蒸干。最后用稀盐酸（</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4.6）转移至10 mL容量瓶中，并定容至标线，供后续火焰原子吸收光谱仪测定。</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6.4 测定</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6.4.1 标准工作曲线的绘制</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分别移取0 mL、0.20 mL、0.50 mL、1.00 mL、2.00 mL、5.00 mL和10.00 mL金标准储备溶液（</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4.10）于7个100 mL容量瓶中，以稀盐酸（</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4.6）定容。使用空气-乙炔火焰，按照表1所列仪器工作条件进行测定。以0 μg/mL标准溶液调零，从低到高对每个标准溶液依次进行测定。以金浓度（μg/mL）为横坐标，吸光度为纵坐标绘制标准工作曲线。</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6.4.2</w:t>
      </w:r>
      <w:r>
        <w:rPr>
          <w:rFonts w:hint="eastAsia" w:ascii="Times New Roman" w:hAnsi="Times New Roman" w:cs="Times New Roman" w:eastAsiaTheme="majorEastAsia"/>
          <w:bCs/>
          <w:color w:val="000000" w:themeColor="text1"/>
          <w:sz w:val="24"/>
          <w14:textFill>
            <w14:solidFill>
              <w14:schemeClr w14:val="tx1"/>
            </w14:solidFill>
          </w14:textFill>
        </w:rPr>
        <w:t xml:space="preserve"> </w:t>
      </w:r>
      <w:r>
        <w:rPr>
          <w:rFonts w:ascii="Times New Roman" w:hAnsi="Times New Roman" w:cs="Times New Roman" w:eastAsiaTheme="majorEastAsia"/>
          <w:bCs/>
          <w:color w:val="000000" w:themeColor="text1"/>
          <w:sz w:val="24"/>
          <w14:textFill>
            <w14:solidFill>
              <w14:schemeClr w14:val="tx1"/>
            </w14:solidFill>
          </w14:textFill>
        </w:rPr>
        <w:t>样品测定</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在与测量标准溶液相同条件下，以随同试样的空白溶液调零，测定待测液（</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6.3.3）的吸光度，自标准工作曲线上查出对应金的浓度。</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p>
    <w:p>
      <w:pPr>
        <w:spacing w:line="440" w:lineRule="exact"/>
        <w:jc w:val="left"/>
        <w:rPr>
          <w:rFonts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2.</w:t>
      </w:r>
      <w:r>
        <w:rPr>
          <w:rFonts w:ascii="黑体" w:hAnsi="黑体" w:eastAsia="黑体" w:cs="黑体"/>
          <w:bCs/>
          <w:color w:val="000000" w:themeColor="text1"/>
          <w:sz w:val="24"/>
          <w14:textFill>
            <w14:solidFill>
              <w14:schemeClr w14:val="tx1"/>
            </w14:solidFill>
          </w14:textFill>
        </w:rPr>
        <w:t>7</w:t>
      </w:r>
      <w:r>
        <w:rPr>
          <w:rFonts w:hint="eastAsia" w:ascii="黑体" w:hAnsi="黑体" w:eastAsia="黑体" w:cs="黑体"/>
          <w:bCs/>
          <w:color w:val="000000" w:themeColor="text1"/>
          <w:sz w:val="24"/>
          <w14:textFill>
            <w14:solidFill>
              <w14:schemeClr w14:val="tx1"/>
            </w14:solidFill>
          </w14:textFill>
        </w:rPr>
        <w:t xml:space="preserve"> </w:t>
      </w:r>
      <w:r>
        <w:rPr>
          <w:rFonts w:ascii="黑体" w:hAnsi="黑体" w:eastAsia="黑体" w:cs="黑体"/>
          <w:bCs/>
          <w:color w:val="000000" w:themeColor="text1"/>
          <w:sz w:val="24"/>
          <w14:textFill>
            <w14:solidFill>
              <w14:schemeClr w14:val="tx1"/>
            </w14:solidFill>
          </w14:textFill>
        </w:rPr>
        <w:t>结果计算</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样品中金含量以ω计，数值以克每吨（g/t）表示，按式（1）计算：</w:t>
      </w:r>
    </w:p>
    <w:p>
      <w:pPr>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 xml:space="preserve"> </w:t>
      </w:r>
      <w:r>
        <w:rPr>
          <w:rFonts w:ascii="Times New Roman"/>
          <w:i/>
          <w:iCs/>
          <w:position w:val="-24"/>
        </w:rPr>
        <w:object>
          <v:shape id="_x0000_i1025" o:spt="75" type="#_x0000_t75" style="height:30.75pt;width:356.2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ascii="Times New Roman" w:hAnsi="Times New Roman" w:cs="Times New Roman" w:eastAsiaTheme="majorEastAsia"/>
          <w:bCs/>
          <w:color w:val="000000" w:themeColor="text1"/>
          <w:sz w:val="24"/>
          <w14:textFill>
            <w14:solidFill>
              <w14:schemeClr w14:val="tx1"/>
            </w14:solidFill>
          </w14:textFill>
        </w:rPr>
        <w:t xml:space="preserve">      </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式中：</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V—测试液的体积，mL；</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c—测试液中金的浓度，μg/mL；</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m—试样的质量，g。</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结果取两次平行测定结果的算术平均值，在重复性条件下获得两次独立测定结果的绝对差值不得超过算术平均值的10%。</w:t>
      </w:r>
    </w:p>
    <w:p>
      <w:pPr>
        <w:spacing w:line="440" w:lineRule="exact"/>
        <w:jc w:val="left"/>
        <w:rPr>
          <w:rFonts w:ascii="黑体" w:hAnsi="黑体" w:eastAsia="黑体" w:cs="黑体"/>
          <w:bCs/>
          <w:color w:val="000000" w:themeColor="text1"/>
          <w:sz w:val="24"/>
          <w14:textFill>
            <w14:solidFill>
              <w14:schemeClr w14:val="tx1"/>
            </w14:solidFill>
          </w14:textFill>
        </w:rPr>
      </w:pPr>
    </w:p>
    <w:p>
      <w:pPr>
        <w:spacing w:line="440" w:lineRule="exact"/>
        <w:jc w:val="left"/>
        <w:rPr>
          <w:rFonts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2.</w:t>
      </w:r>
      <w:r>
        <w:rPr>
          <w:rFonts w:ascii="黑体" w:hAnsi="黑体" w:eastAsia="黑体" w:cs="黑体"/>
          <w:bCs/>
          <w:color w:val="000000" w:themeColor="text1"/>
          <w:sz w:val="24"/>
          <w14:textFill>
            <w14:solidFill>
              <w14:schemeClr w14:val="tx1"/>
            </w14:solidFill>
          </w14:textFill>
        </w:rPr>
        <w:t>8</w:t>
      </w:r>
      <w:r>
        <w:rPr>
          <w:rFonts w:hint="eastAsia" w:ascii="黑体" w:hAnsi="黑体" w:eastAsia="黑体" w:cs="黑体"/>
          <w:bCs/>
          <w:color w:val="000000" w:themeColor="text1"/>
          <w:sz w:val="24"/>
          <w14:textFill>
            <w14:solidFill>
              <w14:schemeClr w14:val="tx1"/>
            </w14:solidFill>
          </w14:textFill>
        </w:rPr>
        <w:t xml:space="preserve"> </w:t>
      </w:r>
      <w:r>
        <w:rPr>
          <w:rFonts w:ascii="黑体" w:hAnsi="黑体" w:eastAsia="黑体" w:cs="黑体"/>
          <w:bCs/>
          <w:color w:val="000000" w:themeColor="text1"/>
          <w:sz w:val="24"/>
          <w14:textFill>
            <w14:solidFill>
              <w14:schemeClr w14:val="tx1"/>
            </w14:solidFill>
          </w14:textFill>
        </w:rPr>
        <w:t>结果</w:t>
      </w:r>
      <w:r>
        <w:rPr>
          <w:rFonts w:hint="eastAsia" w:ascii="黑体" w:hAnsi="黑体" w:eastAsia="黑体" w:cs="黑体"/>
          <w:bCs/>
          <w:color w:val="000000" w:themeColor="text1"/>
          <w:sz w:val="24"/>
          <w14:textFill>
            <w14:solidFill>
              <w14:schemeClr w14:val="tx1"/>
            </w14:solidFill>
          </w14:textFill>
        </w:rPr>
        <w:t>表示</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当测定结果小于1 g/t时，结果保留小数点后两位；当测定结果大于或等于1 g/t时，结果保留三位有效数字。</w:t>
      </w:r>
    </w:p>
    <w:p>
      <w:pPr>
        <w:spacing w:line="440" w:lineRule="exact"/>
        <w:jc w:val="left"/>
        <w:rPr>
          <w:rFonts w:ascii="黑体" w:hAnsi="黑体" w:eastAsia="黑体" w:cs="黑体"/>
          <w:bCs/>
          <w:color w:val="000000" w:themeColor="text1"/>
          <w:sz w:val="24"/>
          <w14:textFill>
            <w14:solidFill>
              <w14:schemeClr w14:val="tx1"/>
            </w14:solidFill>
          </w14:textFill>
        </w:rPr>
      </w:pPr>
    </w:p>
    <w:p>
      <w:pPr>
        <w:spacing w:line="440" w:lineRule="exact"/>
        <w:jc w:val="left"/>
        <w:rPr>
          <w:rFonts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2.9 附录</w:t>
      </w:r>
    </w:p>
    <w:p>
      <w:pPr>
        <w:jc w:val="center"/>
        <w:rPr>
          <w:rFonts w:ascii="Times New Roman" w:hAnsi="Times New Roman" w:eastAsia="宋体" w:cs="Times New Roman"/>
        </w:rPr>
      </w:pPr>
    </w:p>
    <w:p>
      <w:pPr>
        <w:jc w:val="center"/>
        <w:rPr>
          <w:rFonts w:ascii="Times New Roman" w:hAnsi="Times New Roman" w:eastAsia="宋体" w:cs="Times New Roman"/>
        </w:rPr>
      </w:pPr>
      <w:r>
        <w:rPr>
          <w:rFonts w:ascii="Times New Roman" w:hAnsi="Times New Roman" w:eastAsia="宋体" w:cs="Times New Roman"/>
        </w:rPr>
        <w:drawing>
          <wp:inline distT="0" distB="0" distL="114300" distR="114300">
            <wp:extent cx="2931795" cy="4034790"/>
            <wp:effectExtent l="0" t="0" r="0" b="3810"/>
            <wp:docPr id="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
                    <pic:cNvPicPr>
                      <a:picLocks noChangeAspect="1"/>
                    </pic:cNvPicPr>
                  </pic:nvPicPr>
                  <pic:blipFill>
                    <a:blip r:embed="rId8"/>
                    <a:stretch>
                      <a:fillRect/>
                    </a:stretch>
                  </pic:blipFill>
                  <pic:spPr>
                    <a:xfrm>
                      <a:off x="0" y="0"/>
                      <a:ext cx="2931795" cy="4034790"/>
                    </a:xfrm>
                    <a:prstGeom prst="rect">
                      <a:avLst/>
                    </a:prstGeom>
                    <a:noFill/>
                    <a:ln>
                      <a:noFill/>
                    </a:ln>
                  </pic:spPr>
                </pic:pic>
              </a:graphicData>
            </a:graphic>
          </wp:inline>
        </w:drawing>
      </w:r>
    </w:p>
    <w:p>
      <w:pPr>
        <w:jc w:val="center"/>
        <w:rPr>
          <w:rFonts w:ascii="Times New Roman" w:hAnsi="Times New Roman" w:eastAsia="宋体" w:cs="Times New Roman"/>
        </w:rPr>
      </w:pPr>
    </w:p>
    <w:p>
      <w:pPr>
        <w:spacing w:line="360" w:lineRule="auto"/>
        <w:ind w:firstLine="480" w:firstLineChars="200"/>
        <w:jc w:val="center"/>
        <w:rPr>
          <w:rFonts w:hint="eastAsia" w:ascii="黑体" w:hAnsi="黑体" w:eastAsia="黑体" w:cs="黑体"/>
          <w:sz w:val="24"/>
          <w:szCs w:val="24"/>
        </w:rPr>
      </w:pPr>
      <w:r>
        <w:rPr>
          <w:rFonts w:hint="eastAsia" w:ascii="黑体" w:hAnsi="黑体" w:eastAsia="黑体" w:cs="黑体"/>
          <w:sz w:val="24"/>
          <w:szCs w:val="24"/>
        </w:rPr>
        <w:t>图2 阴离子交换装置图</w:t>
      </w:r>
    </w:p>
    <w:p>
      <w:pPr>
        <w:numPr>
          <w:ilvl w:val="0"/>
          <w:numId w:val="2"/>
        </w:numPr>
        <w:tabs>
          <w:tab w:val="left" w:pos="636"/>
        </w:tabs>
        <w:spacing w:line="360" w:lineRule="auto"/>
        <w:rPr>
          <w:rFonts w:ascii="黑体" w:hAnsi="黑体" w:eastAsia="黑体" w:cs="黑体"/>
          <w:sz w:val="28"/>
          <w:szCs w:val="28"/>
        </w:rPr>
      </w:pPr>
      <w:r>
        <w:rPr>
          <w:rFonts w:hint="eastAsia" w:ascii="黑体" w:hAnsi="黑体" w:eastAsia="黑体" w:cs="黑体"/>
          <w:sz w:val="28"/>
          <w:szCs w:val="28"/>
        </w:rPr>
        <w:t>实验结果与方法验证</w:t>
      </w:r>
    </w:p>
    <w:p>
      <w:pPr>
        <w:tabs>
          <w:tab w:val="left" w:pos="636"/>
        </w:tabs>
        <w:spacing w:line="360" w:lineRule="auto"/>
        <w:rPr>
          <w:rFonts w:ascii="黑体" w:hAnsi="黑体" w:eastAsia="黑体" w:cs="黑体"/>
          <w:sz w:val="24"/>
        </w:rPr>
      </w:pPr>
      <w:r>
        <w:rPr>
          <w:rFonts w:hint="eastAsia" w:ascii="黑体" w:hAnsi="黑体" w:eastAsia="黑体" w:cs="黑体"/>
          <w:sz w:val="24"/>
        </w:rPr>
        <w:t>3.1 标准曲线的绘制</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以空白试样调仪器零点，按浓度由低到高顺序依次测定金标准工作溶液的吸光度，以金浓度为横坐标，吸光度为纵坐标，建立工作曲线</w:t>
      </w:r>
      <w:r>
        <w:rPr>
          <w:rFonts w:hint="eastAsia" w:ascii="Times New Roman" w:hAnsi="Times New Roman" w:cs="Times New Roman" w:eastAsiaTheme="majorEastAsia"/>
          <w:bCs/>
          <w:color w:val="000000" w:themeColor="text1"/>
          <w:sz w:val="24"/>
          <w14:textFill>
            <w14:solidFill>
              <w14:schemeClr w14:val="tx1"/>
            </w14:solidFill>
          </w14:textFill>
        </w:rPr>
        <w:t>。通过计算得出</w:t>
      </w:r>
      <w:r>
        <w:rPr>
          <w:rFonts w:ascii="Times New Roman" w:hAnsi="Times New Roman" w:cs="Times New Roman" w:eastAsiaTheme="majorEastAsia"/>
          <w:bCs/>
          <w:color w:val="000000" w:themeColor="text1"/>
          <w:sz w:val="24"/>
          <w14:textFill>
            <w14:solidFill>
              <w14:schemeClr w14:val="tx1"/>
            </w14:solidFill>
          </w14:textFill>
        </w:rPr>
        <w:t>曲线方程为Y=0.0415X+0.0006，相关系数R</w:t>
      </w:r>
      <w:r>
        <w:rPr>
          <w:rFonts w:ascii="Times New Roman" w:hAnsi="Times New Roman" w:cs="Times New Roman" w:eastAsiaTheme="majorEastAsia"/>
          <w:bCs/>
          <w:color w:val="000000" w:themeColor="text1"/>
          <w:sz w:val="24"/>
          <w:vertAlign w:val="superscript"/>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=0.9998，详细数据见表</w:t>
      </w:r>
      <w:r>
        <w:rPr>
          <w:rFonts w:hint="eastAsia" w:ascii="Times New Roman" w:hAnsi="Times New Roman" w:cs="Times New Roman" w:eastAsiaTheme="majorEastAsia"/>
          <w:bCs/>
          <w:color w:val="000000" w:themeColor="text1"/>
          <w:sz w:val="24"/>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。通过以上数据可以得出，金在0.00</w:t>
      </w:r>
      <w:r>
        <w:rPr>
          <w:rFonts w:hint="eastAsia" w:ascii="Times New Roman" w:hAnsi="Times New Roman" w:cs="Times New Roman" w:eastAsiaTheme="majorEastAsia"/>
          <w:bCs/>
          <w:color w:val="000000" w:themeColor="text1"/>
          <w:sz w:val="24"/>
          <w14:textFill>
            <w14:solidFill>
              <w14:schemeClr w14:val="tx1"/>
            </w14:solidFill>
          </w14:textFill>
        </w:rPr>
        <w:t xml:space="preserve"> </w:t>
      </w:r>
      <w:r>
        <w:rPr>
          <w:rFonts w:ascii="Times New Roman" w:hAnsi="Times New Roman" w:cs="Times New Roman" w:eastAsiaTheme="majorEastAsia"/>
          <w:bCs/>
          <w:color w:val="000000" w:themeColor="text1"/>
          <w:sz w:val="24"/>
          <w14:textFill>
            <w14:solidFill>
              <w14:schemeClr w14:val="tx1"/>
            </w14:solidFill>
          </w14:textFill>
        </w:rPr>
        <w:t>μg/mL~10.0 μg/mL的范围内，仪器对金有良好的响应，且线性良好。</w:t>
      </w:r>
    </w:p>
    <w:p>
      <w:pPr>
        <w:spacing w:line="440" w:lineRule="exact"/>
        <w:ind w:firstLine="480" w:firstLineChars="200"/>
        <w:jc w:val="center"/>
        <w:rPr>
          <w:rFonts w:ascii="Times New Roman" w:hAnsi="Times New Roman" w:cs="Times New Roman" w:eastAsiaTheme="majorEastAsia"/>
          <w:bCs/>
          <w:color w:val="000000" w:themeColor="text1"/>
          <w:sz w:val="24"/>
          <w14:textFill>
            <w14:solidFill>
              <w14:schemeClr w14:val="tx1"/>
            </w14:solidFill>
          </w14:textFill>
        </w:rPr>
      </w:pPr>
      <w:r>
        <w:rPr>
          <w:rFonts w:hint="eastAsia" w:ascii="黑体" w:hAnsi="黑体" w:eastAsia="黑体" w:cs="黑体"/>
          <w:sz w:val="24"/>
          <w:szCs w:val="24"/>
        </w:rPr>
        <w:t>表2 校准曲线信息表</w:t>
      </w:r>
    </w:p>
    <w:tbl>
      <w:tblPr>
        <w:tblStyle w:val="7"/>
        <w:tblW w:w="8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931"/>
        <w:gridCol w:w="931"/>
        <w:gridCol w:w="931"/>
        <w:gridCol w:w="931"/>
        <w:gridCol w:w="931"/>
        <w:gridCol w:w="931"/>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2020" w:type="dxa"/>
            <w:tcBorders>
              <w:top w:val="single" w:color="auto" w:sz="12" w:space="0"/>
              <w:left w:val="nil"/>
              <w:bottom w:val="single" w:color="auto" w:sz="6"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浓度（μg/m</w:t>
            </w:r>
            <w:r>
              <w:rPr>
                <w:rFonts w:hint="eastAsia" w:ascii="Times New Roman" w:hAnsi="Times New Roman" w:eastAsia="宋体" w:cs="Times New Roman"/>
                <w:color w:val="000000" w:themeColor="text1"/>
                <w:sz w:val="22"/>
                <w:szCs w:val="22"/>
                <w14:textFill>
                  <w14:solidFill>
                    <w14:schemeClr w14:val="tx1"/>
                  </w14:solidFill>
                </w14:textFill>
              </w:rPr>
              <w:t>L</w:t>
            </w:r>
            <w:r>
              <w:rPr>
                <w:rFonts w:ascii="Times New Roman" w:hAnsi="Times New Roman" w:eastAsia="宋体" w:cs="Times New Roman"/>
                <w:color w:val="000000" w:themeColor="text1"/>
                <w:sz w:val="22"/>
                <w:szCs w:val="22"/>
                <w14:textFill>
                  <w14:solidFill>
                    <w14:schemeClr w14:val="tx1"/>
                  </w14:solidFill>
                </w14:textFill>
              </w:rPr>
              <w:t>）</w:t>
            </w:r>
          </w:p>
        </w:tc>
        <w:tc>
          <w:tcPr>
            <w:tcW w:w="931" w:type="dxa"/>
            <w:tcBorders>
              <w:top w:val="single" w:color="auto" w:sz="12" w:space="0"/>
              <w:left w:val="nil"/>
              <w:bottom w:val="single" w:color="auto" w:sz="6"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0.00</w:t>
            </w:r>
          </w:p>
        </w:tc>
        <w:tc>
          <w:tcPr>
            <w:tcW w:w="931" w:type="dxa"/>
            <w:tcBorders>
              <w:top w:val="single" w:color="auto" w:sz="12" w:space="0"/>
              <w:left w:val="nil"/>
              <w:bottom w:val="single" w:color="auto" w:sz="6"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0.20</w:t>
            </w:r>
          </w:p>
        </w:tc>
        <w:tc>
          <w:tcPr>
            <w:tcW w:w="931" w:type="dxa"/>
            <w:tcBorders>
              <w:top w:val="single" w:color="auto" w:sz="12" w:space="0"/>
              <w:left w:val="nil"/>
              <w:bottom w:val="single" w:color="auto" w:sz="6"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0.50</w:t>
            </w:r>
          </w:p>
        </w:tc>
        <w:tc>
          <w:tcPr>
            <w:tcW w:w="931" w:type="dxa"/>
            <w:tcBorders>
              <w:top w:val="single" w:color="auto" w:sz="12" w:space="0"/>
              <w:left w:val="nil"/>
              <w:bottom w:val="single" w:color="auto" w:sz="6"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1.00</w:t>
            </w:r>
          </w:p>
        </w:tc>
        <w:tc>
          <w:tcPr>
            <w:tcW w:w="931" w:type="dxa"/>
            <w:tcBorders>
              <w:top w:val="single" w:color="auto" w:sz="12" w:space="0"/>
              <w:left w:val="nil"/>
              <w:bottom w:val="single" w:color="auto" w:sz="6"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2.00</w:t>
            </w:r>
          </w:p>
        </w:tc>
        <w:tc>
          <w:tcPr>
            <w:tcW w:w="931" w:type="dxa"/>
            <w:tcBorders>
              <w:top w:val="single" w:color="auto" w:sz="12" w:space="0"/>
              <w:left w:val="nil"/>
              <w:bottom w:val="single" w:color="auto" w:sz="6"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5.00</w:t>
            </w:r>
          </w:p>
        </w:tc>
        <w:tc>
          <w:tcPr>
            <w:tcW w:w="931" w:type="dxa"/>
            <w:tcBorders>
              <w:top w:val="single" w:color="auto" w:sz="12" w:space="0"/>
              <w:left w:val="nil"/>
              <w:bottom w:val="single" w:color="auto" w:sz="6"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0" w:type="dxa"/>
            <w:tcBorders>
              <w:top w:val="single" w:color="auto" w:sz="6" w:space="0"/>
              <w:left w:val="nil"/>
              <w:bottom w:val="single" w:color="auto" w:sz="12"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吸光度（Abs）</w:t>
            </w:r>
          </w:p>
        </w:tc>
        <w:tc>
          <w:tcPr>
            <w:tcW w:w="931" w:type="dxa"/>
            <w:tcBorders>
              <w:top w:val="single" w:color="auto" w:sz="6" w:space="0"/>
              <w:left w:val="nil"/>
              <w:bottom w:val="single" w:color="auto" w:sz="12"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-0.0004</w:t>
            </w:r>
          </w:p>
        </w:tc>
        <w:tc>
          <w:tcPr>
            <w:tcW w:w="931" w:type="dxa"/>
            <w:tcBorders>
              <w:top w:val="single" w:color="auto" w:sz="6" w:space="0"/>
              <w:left w:val="nil"/>
              <w:bottom w:val="single" w:color="auto" w:sz="12"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0.007</w:t>
            </w:r>
          </w:p>
        </w:tc>
        <w:tc>
          <w:tcPr>
            <w:tcW w:w="931" w:type="dxa"/>
            <w:tcBorders>
              <w:top w:val="single" w:color="auto" w:sz="6" w:space="0"/>
              <w:left w:val="nil"/>
              <w:bottom w:val="single" w:color="auto" w:sz="12"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0.0204</w:t>
            </w:r>
          </w:p>
        </w:tc>
        <w:tc>
          <w:tcPr>
            <w:tcW w:w="931" w:type="dxa"/>
            <w:tcBorders>
              <w:top w:val="single" w:color="auto" w:sz="6" w:space="0"/>
              <w:left w:val="nil"/>
              <w:bottom w:val="single" w:color="auto" w:sz="12"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0.0423</w:t>
            </w:r>
          </w:p>
        </w:tc>
        <w:tc>
          <w:tcPr>
            <w:tcW w:w="931" w:type="dxa"/>
            <w:tcBorders>
              <w:top w:val="single" w:color="auto" w:sz="6" w:space="0"/>
              <w:left w:val="nil"/>
              <w:bottom w:val="single" w:color="auto" w:sz="12"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0.0855</w:t>
            </w:r>
          </w:p>
        </w:tc>
        <w:tc>
          <w:tcPr>
            <w:tcW w:w="931" w:type="dxa"/>
            <w:tcBorders>
              <w:top w:val="single" w:color="auto" w:sz="6" w:space="0"/>
              <w:left w:val="nil"/>
              <w:bottom w:val="single" w:color="auto" w:sz="12"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0.2121</w:t>
            </w:r>
          </w:p>
        </w:tc>
        <w:tc>
          <w:tcPr>
            <w:tcW w:w="931" w:type="dxa"/>
            <w:tcBorders>
              <w:top w:val="single" w:color="auto" w:sz="6" w:space="0"/>
              <w:left w:val="nil"/>
              <w:bottom w:val="single" w:color="auto" w:sz="12" w:space="0"/>
              <w:right w:val="nil"/>
            </w:tcBorders>
            <w:vAlign w:val="center"/>
          </w:tcPr>
          <w:p>
            <w:pPr>
              <w:spacing w:line="440" w:lineRule="exact"/>
              <w:jc w:val="center"/>
              <w:rPr>
                <w:rFonts w:ascii="Times New Roman" w:hAnsi="Times New Roman" w:eastAsia="宋体" w:cs="Times New Roman"/>
                <w:color w:val="000000" w:themeColor="text1"/>
                <w:sz w:val="22"/>
                <w:szCs w:val="22"/>
                <w14:textFill>
                  <w14:solidFill>
                    <w14:schemeClr w14:val="tx1"/>
                  </w14:solidFill>
                </w14:textFill>
              </w:rPr>
            </w:pPr>
            <w:r>
              <w:rPr>
                <w:rFonts w:ascii="Times New Roman" w:hAnsi="Times New Roman" w:eastAsia="宋体" w:cs="Times New Roman"/>
                <w:color w:val="000000" w:themeColor="text1"/>
                <w:sz w:val="22"/>
                <w:szCs w:val="22"/>
                <w14:textFill>
                  <w14:solidFill>
                    <w14:schemeClr w14:val="tx1"/>
                  </w14:solidFill>
                </w14:textFill>
              </w:rPr>
              <w:t>0.4128</w:t>
            </w:r>
          </w:p>
        </w:tc>
      </w:tr>
    </w:tbl>
    <w:p>
      <w:pPr>
        <w:tabs>
          <w:tab w:val="left" w:pos="636"/>
        </w:tabs>
        <w:spacing w:line="360" w:lineRule="auto"/>
        <w:rPr>
          <w:rFonts w:ascii="黑体" w:hAnsi="黑体" w:eastAsia="黑体" w:cs="黑体"/>
          <w:sz w:val="24"/>
        </w:rPr>
      </w:pPr>
    </w:p>
    <w:p>
      <w:pPr>
        <w:tabs>
          <w:tab w:val="left" w:pos="636"/>
        </w:tabs>
        <w:spacing w:line="360" w:lineRule="auto"/>
        <w:rPr>
          <w:rFonts w:ascii="黑体" w:hAnsi="黑体" w:eastAsia="黑体" w:cs="黑体"/>
          <w:sz w:val="24"/>
        </w:rPr>
      </w:pPr>
      <w:r>
        <w:rPr>
          <w:rFonts w:ascii="黑体" w:hAnsi="黑体" w:eastAsia="黑体" w:cs="黑体"/>
          <w:sz w:val="24"/>
        </w:rPr>
        <w:t>3.</w:t>
      </w:r>
      <w:r>
        <w:rPr>
          <w:rFonts w:hint="eastAsia" w:ascii="黑体" w:hAnsi="黑体" w:eastAsia="黑体" w:cs="黑体"/>
          <w:sz w:val="24"/>
        </w:rPr>
        <w:t>2</w:t>
      </w:r>
      <w:r>
        <w:rPr>
          <w:rFonts w:ascii="黑体" w:hAnsi="黑体" w:eastAsia="黑体" w:cs="黑体"/>
          <w:sz w:val="24"/>
        </w:rPr>
        <w:t xml:space="preserve"> </w:t>
      </w:r>
      <w:r>
        <w:rPr>
          <w:rFonts w:hint="eastAsia" w:ascii="黑体" w:hAnsi="黑体" w:eastAsia="黑体" w:cs="黑体"/>
          <w:sz w:val="24"/>
        </w:rPr>
        <w:t>仪器条件的确定</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本文主要考察灯电流、乙炔流量、狭缝宽度和燃烧头高度4个因素（分别记作A、B、C、D），以及3个水平（分别记作1、2、3）对检测结果的影响，每个因素和水平的设置条件详见表2。</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取校准曲线中间浓度</w:t>
      </w:r>
      <w:r>
        <w:rPr>
          <w:rFonts w:ascii="Times New Roman" w:hAnsi="Times New Roman" w:cs="Times New Roman" w:eastAsiaTheme="majorEastAsia"/>
          <w:bCs/>
          <w:color w:val="000000" w:themeColor="text1"/>
          <w:sz w:val="24"/>
          <w14:textFill>
            <w14:solidFill>
              <w14:schemeClr w14:val="tx1"/>
            </w14:solidFill>
          </w14:textFill>
        </w:rPr>
        <w:t>5.00 μg/mL</w:t>
      </w:r>
      <w:r>
        <w:rPr>
          <w:rFonts w:hint="eastAsia" w:ascii="Times New Roman" w:hAnsi="Times New Roman" w:cs="Times New Roman" w:eastAsiaTheme="majorEastAsia"/>
          <w:bCs/>
          <w:color w:val="000000" w:themeColor="text1"/>
          <w:sz w:val="24"/>
          <w14:textFill>
            <w14:solidFill>
              <w14:schemeClr w14:val="tx1"/>
            </w14:solidFill>
          </w14:textFill>
        </w:rPr>
        <w:t>的金标准溶液作为样品进行测试，在开始正交实验前，首先进行单因素变量实验，而正交实验则</w:t>
      </w:r>
      <w:r>
        <w:rPr>
          <w:rFonts w:ascii="Times New Roman" w:hAnsi="Times New Roman" w:cs="Times New Roman" w:eastAsiaTheme="majorEastAsia"/>
          <w:bCs/>
          <w:color w:val="000000" w:themeColor="text1"/>
          <w:sz w:val="24"/>
          <w14:textFill>
            <w14:solidFill>
              <w14:schemeClr w14:val="tx1"/>
            </w14:solidFill>
          </w14:textFill>
        </w:rPr>
        <w:t>主要考察上述</w:t>
      </w:r>
      <w:r>
        <w:rPr>
          <w:rFonts w:hint="eastAsia" w:ascii="Times New Roman" w:hAnsi="Times New Roman" w:cs="Times New Roman" w:eastAsiaTheme="majorEastAsia"/>
          <w:bCs/>
          <w:color w:val="000000" w:themeColor="text1"/>
          <w:sz w:val="24"/>
          <w14:textFill>
            <w14:solidFill>
              <w14:schemeClr w14:val="tx1"/>
            </w14:solidFill>
          </w14:textFill>
        </w:rPr>
        <w:t>4</w:t>
      </w:r>
      <w:r>
        <w:rPr>
          <w:rFonts w:ascii="Times New Roman" w:hAnsi="Times New Roman" w:cs="Times New Roman" w:eastAsiaTheme="majorEastAsia"/>
          <w:bCs/>
          <w:color w:val="000000" w:themeColor="text1"/>
          <w:sz w:val="24"/>
          <w14:textFill>
            <w14:solidFill>
              <w14:schemeClr w14:val="tx1"/>
            </w14:solidFill>
          </w14:textFill>
        </w:rPr>
        <w:t>个因素</w:t>
      </w:r>
      <w:r>
        <w:rPr>
          <w:rFonts w:hint="eastAsia" w:ascii="Times New Roman" w:hAnsi="Times New Roman" w:cs="Times New Roman" w:eastAsiaTheme="majorEastAsia"/>
          <w:bCs/>
          <w:color w:val="000000" w:themeColor="text1"/>
          <w:sz w:val="24"/>
          <w14:textFill>
            <w14:solidFill>
              <w14:schemeClr w14:val="tx1"/>
            </w14:solidFill>
          </w14:textFill>
        </w:rPr>
        <w:t>共同作用下对结果的</w:t>
      </w:r>
      <w:r>
        <w:rPr>
          <w:rFonts w:ascii="Times New Roman" w:hAnsi="Times New Roman" w:cs="Times New Roman" w:eastAsiaTheme="majorEastAsia"/>
          <w:bCs/>
          <w:color w:val="000000" w:themeColor="text1"/>
          <w:sz w:val="24"/>
          <w14:textFill>
            <w14:solidFill>
              <w14:schemeClr w14:val="tx1"/>
            </w14:solidFill>
          </w14:textFill>
        </w:rPr>
        <w:t>影响效果，不</w:t>
      </w:r>
      <w:r>
        <w:rPr>
          <w:rFonts w:hint="eastAsia" w:ascii="Times New Roman" w:hAnsi="Times New Roman" w:cs="Times New Roman" w:eastAsiaTheme="majorEastAsia"/>
          <w:bCs/>
          <w:color w:val="000000" w:themeColor="text1"/>
          <w:sz w:val="24"/>
          <w14:textFill>
            <w14:solidFill>
              <w14:schemeClr w14:val="tx1"/>
            </w14:solidFill>
          </w14:textFill>
        </w:rPr>
        <w:t>考虑</w:t>
      </w:r>
      <w:r>
        <w:rPr>
          <w:rFonts w:ascii="Times New Roman" w:hAnsi="Times New Roman" w:cs="Times New Roman" w:eastAsiaTheme="majorEastAsia"/>
          <w:bCs/>
          <w:color w:val="000000" w:themeColor="text1"/>
          <w:sz w:val="24"/>
          <w14:textFill>
            <w14:solidFill>
              <w14:schemeClr w14:val="tx1"/>
            </w14:solidFill>
          </w14:textFill>
        </w:rPr>
        <w:t>各因素</w:t>
      </w:r>
      <w:r>
        <w:rPr>
          <w:rFonts w:hint="eastAsia" w:ascii="Times New Roman" w:hAnsi="Times New Roman" w:cs="Times New Roman" w:eastAsiaTheme="majorEastAsia"/>
          <w:bCs/>
          <w:color w:val="000000" w:themeColor="text1"/>
          <w:sz w:val="24"/>
          <w14:textFill>
            <w14:solidFill>
              <w14:schemeClr w14:val="tx1"/>
            </w14:solidFill>
          </w14:textFill>
        </w:rPr>
        <w:t>之间</w:t>
      </w:r>
      <w:r>
        <w:rPr>
          <w:rFonts w:ascii="Times New Roman" w:hAnsi="Times New Roman" w:cs="Times New Roman" w:eastAsiaTheme="majorEastAsia"/>
          <w:bCs/>
          <w:color w:val="000000" w:themeColor="text1"/>
          <w:sz w:val="24"/>
          <w14:textFill>
            <w14:solidFill>
              <w14:schemeClr w14:val="tx1"/>
            </w14:solidFill>
          </w14:textFill>
        </w:rPr>
        <w:t>的相互作用，</w:t>
      </w:r>
      <w:r>
        <w:rPr>
          <w:rFonts w:hint="eastAsia" w:ascii="Times New Roman" w:hAnsi="Times New Roman" w:cs="Times New Roman" w:eastAsiaTheme="majorEastAsia"/>
          <w:bCs/>
          <w:color w:val="000000" w:themeColor="text1"/>
          <w:sz w:val="24"/>
          <w14:textFill>
            <w14:solidFill>
              <w14:schemeClr w14:val="tx1"/>
            </w14:solidFill>
          </w14:textFill>
        </w:rPr>
        <w:t>拟</w:t>
      </w:r>
      <w:r>
        <w:rPr>
          <w:rFonts w:ascii="Times New Roman" w:hAnsi="Times New Roman" w:cs="Times New Roman" w:eastAsiaTheme="majorEastAsia"/>
          <w:bCs/>
          <w:color w:val="000000" w:themeColor="text1"/>
          <w:sz w:val="24"/>
          <w14:textFill>
            <w14:solidFill>
              <w14:schemeClr w14:val="tx1"/>
            </w14:solidFill>
          </w14:textFill>
        </w:rPr>
        <w:t>选用L</w:t>
      </w:r>
      <w:r>
        <w:rPr>
          <w:rFonts w:ascii="Times New Roman" w:hAnsi="Times New Roman" w:cs="Times New Roman" w:eastAsiaTheme="majorEastAsia"/>
          <w:bCs/>
          <w:color w:val="000000" w:themeColor="text1"/>
          <w:sz w:val="24"/>
          <w:vertAlign w:val="subscript"/>
          <w14:textFill>
            <w14:solidFill>
              <w14:schemeClr w14:val="tx1"/>
            </w14:solidFill>
          </w14:textFill>
        </w:rPr>
        <w:t>9</w:t>
      </w:r>
      <w:r>
        <w:rPr>
          <w:rFonts w:ascii="Times New Roman" w:hAnsi="Times New Roman" w:cs="Times New Roman" w:eastAsiaTheme="majorEastAsia"/>
          <w:bCs/>
          <w:color w:val="000000" w:themeColor="text1"/>
          <w:sz w:val="24"/>
          <w14:textFill>
            <w14:solidFill>
              <w14:schemeClr w14:val="tx1"/>
            </w14:solidFill>
          </w14:textFill>
        </w:rPr>
        <w:t>（3</w:t>
      </w:r>
      <w:r>
        <w:rPr>
          <w:rFonts w:ascii="Times New Roman" w:hAnsi="Times New Roman" w:cs="Times New Roman" w:eastAsiaTheme="majorEastAsia"/>
          <w:bCs/>
          <w:color w:val="000000" w:themeColor="text1"/>
          <w:sz w:val="24"/>
          <w:vertAlign w:val="superscript"/>
          <w14:textFill>
            <w14:solidFill>
              <w14:schemeClr w14:val="tx1"/>
            </w14:solidFill>
          </w14:textFill>
        </w:rPr>
        <w:t>4</w:t>
      </w:r>
      <w:r>
        <w:rPr>
          <w:rFonts w:ascii="Times New Roman" w:hAnsi="Times New Roman" w:cs="Times New Roman" w:eastAsiaTheme="majorEastAsia"/>
          <w:bCs/>
          <w:color w:val="000000" w:themeColor="text1"/>
          <w:sz w:val="24"/>
          <w14:textFill>
            <w14:solidFill>
              <w14:schemeClr w14:val="tx1"/>
            </w14:solidFill>
          </w14:textFill>
        </w:rPr>
        <w:t>）正交表。将A、B、C、D</w:t>
      </w:r>
      <w:r>
        <w:rPr>
          <w:rFonts w:hint="eastAsia" w:ascii="Times New Roman" w:hAnsi="Times New Roman" w:cs="Times New Roman" w:eastAsiaTheme="majorEastAsia"/>
          <w:bCs/>
          <w:color w:val="000000" w:themeColor="text1"/>
          <w:sz w:val="24"/>
          <w14:textFill>
            <w14:solidFill>
              <w14:schemeClr w14:val="tx1"/>
            </w14:solidFill>
          </w14:textFill>
        </w:rPr>
        <w:t>这4</w:t>
      </w:r>
      <w:r>
        <w:rPr>
          <w:rFonts w:ascii="Times New Roman" w:hAnsi="Times New Roman" w:cs="Times New Roman" w:eastAsiaTheme="majorEastAsia"/>
          <w:bCs/>
          <w:color w:val="000000" w:themeColor="text1"/>
          <w:sz w:val="24"/>
          <w14:textFill>
            <w14:solidFill>
              <w14:schemeClr w14:val="tx1"/>
            </w14:solidFill>
          </w14:textFill>
        </w:rPr>
        <w:t>个因素分别放置在对应的列内，设置9组实验，每组实验平行测定3次吸光度，</w:t>
      </w:r>
      <w:r>
        <w:rPr>
          <w:rFonts w:hint="eastAsia" w:ascii="Times New Roman" w:hAnsi="Times New Roman" w:cs="Times New Roman" w:eastAsiaTheme="majorEastAsia"/>
          <w:bCs/>
          <w:color w:val="000000" w:themeColor="text1"/>
          <w:sz w:val="24"/>
          <w14:textFill>
            <w14:solidFill>
              <w14:schemeClr w14:val="tx1"/>
            </w14:solidFill>
          </w14:textFill>
        </w:rPr>
        <w:t>记录每次实验数据，</w:t>
      </w:r>
      <w:r>
        <w:rPr>
          <w:rFonts w:ascii="Times New Roman" w:hAnsi="Times New Roman" w:cs="Times New Roman" w:eastAsiaTheme="majorEastAsia"/>
          <w:bCs/>
          <w:color w:val="000000" w:themeColor="text1"/>
          <w:sz w:val="24"/>
          <w14:textFill>
            <w14:solidFill>
              <w14:schemeClr w14:val="tx1"/>
            </w14:solidFill>
          </w14:textFill>
        </w:rPr>
        <w:t>取其算术平均值作为最终结果。</w:t>
      </w:r>
      <w:r>
        <w:rPr>
          <w:rFonts w:hint="eastAsia" w:ascii="Times New Roman" w:hAnsi="Times New Roman" w:cs="Times New Roman" w:eastAsiaTheme="majorEastAsia"/>
          <w:bCs/>
          <w:color w:val="000000" w:themeColor="text1"/>
          <w:sz w:val="24"/>
          <w14:textFill>
            <w14:solidFill>
              <w14:schemeClr w14:val="tx1"/>
            </w14:solidFill>
          </w14:textFill>
        </w:rPr>
        <w:t>通过正交实验</w:t>
      </w:r>
      <w:r>
        <w:rPr>
          <w:rFonts w:ascii="Times New Roman" w:hAnsi="Times New Roman" w:cs="Times New Roman" w:eastAsiaTheme="majorEastAsia"/>
          <w:bCs/>
          <w:color w:val="000000" w:themeColor="text1"/>
          <w:sz w:val="24"/>
          <w14:textFill>
            <w14:solidFill>
              <w14:schemeClr w14:val="tx1"/>
            </w14:solidFill>
          </w14:textFill>
        </w:rPr>
        <w:t>研究灯电流、乙炔流量、狭缝宽度和燃烧头高度对检测结果的影响，</w:t>
      </w:r>
      <w:r>
        <w:rPr>
          <w:rFonts w:hint="eastAsia" w:ascii="Times New Roman" w:hAnsi="Times New Roman" w:cs="Times New Roman" w:eastAsiaTheme="majorEastAsia"/>
          <w:bCs/>
          <w:color w:val="000000" w:themeColor="text1"/>
          <w:sz w:val="24"/>
          <w14:textFill>
            <w14:solidFill>
              <w14:schemeClr w14:val="tx1"/>
            </w14:solidFill>
          </w14:textFill>
        </w:rPr>
        <w:t>并研究</w:t>
      </w:r>
      <w:r>
        <w:rPr>
          <w:rFonts w:ascii="Times New Roman" w:hAnsi="Times New Roman" w:cs="Times New Roman" w:eastAsiaTheme="majorEastAsia"/>
          <w:bCs/>
          <w:color w:val="000000" w:themeColor="text1"/>
          <w:sz w:val="24"/>
          <w14:textFill>
            <w14:solidFill>
              <w14:schemeClr w14:val="tx1"/>
            </w14:solidFill>
          </w14:textFill>
        </w:rPr>
        <w:t>这四个因素哪些对检测结果的影响</w:t>
      </w:r>
      <w:r>
        <w:rPr>
          <w:rFonts w:hint="eastAsia" w:ascii="Times New Roman" w:hAnsi="Times New Roman" w:cs="Times New Roman" w:eastAsiaTheme="majorEastAsia"/>
          <w:bCs/>
          <w:color w:val="000000" w:themeColor="text1"/>
          <w:sz w:val="24"/>
          <w14:textFill>
            <w14:solidFill>
              <w14:schemeClr w14:val="tx1"/>
            </w14:solidFill>
          </w14:textFill>
        </w:rPr>
        <w:t>最为</w:t>
      </w:r>
      <w:r>
        <w:rPr>
          <w:rFonts w:ascii="Times New Roman" w:hAnsi="Times New Roman" w:cs="Times New Roman" w:eastAsiaTheme="majorEastAsia"/>
          <w:bCs/>
          <w:color w:val="000000" w:themeColor="text1"/>
          <w:sz w:val="24"/>
          <w14:textFill>
            <w14:solidFill>
              <w14:schemeClr w14:val="tx1"/>
            </w14:solidFill>
          </w14:textFill>
        </w:rPr>
        <w:t>显著，</w:t>
      </w:r>
      <w:r>
        <w:rPr>
          <w:rFonts w:hint="eastAsia" w:ascii="Times New Roman" w:hAnsi="Times New Roman" w:cs="Times New Roman" w:eastAsiaTheme="majorEastAsia"/>
          <w:bCs/>
          <w:color w:val="000000" w:themeColor="text1"/>
          <w:sz w:val="24"/>
          <w14:textFill>
            <w14:solidFill>
              <w14:schemeClr w14:val="tx1"/>
            </w14:solidFill>
          </w14:textFill>
        </w:rPr>
        <w:t>最终求出最适仪器参数条件。</w:t>
      </w:r>
    </w:p>
    <w:p>
      <w:pPr>
        <w:spacing w:line="440" w:lineRule="exact"/>
        <w:ind w:firstLine="560"/>
        <w:jc w:val="center"/>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560"/>
        <w:jc w:val="center"/>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560"/>
        <w:jc w:val="center"/>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560"/>
        <w:jc w:val="center"/>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560"/>
        <w:jc w:val="center"/>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560"/>
        <w:jc w:val="center"/>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560"/>
        <w:jc w:val="center"/>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560"/>
        <w:jc w:val="center"/>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560"/>
        <w:jc w:val="center"/>
        <w:rPr>
          <w:rFonts w:hint="eastAsia" w:ascii="黑体" w:hAnsi="黑体" w:eastAsia="黑体" w:cs="黑体"/>
          <w:color w:val="000000" w:themeColor="text1"/>
          <w:kern w:val="0"/>
          <w:sz w:val="24"/>
          <w:lang w:bidi="ar"/>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表3  L</w:t>
      </w:r>
      <w:r>
        <w:rPr>
          <w:rFonts w:hint="eastAsia" w:ascii="黑体" w:hAnsi="黑体" w:eastAsia="黑体" w:cs="黑体"/>
          <w:color w:val="000000" w:themeColor="text1"/>
          <w:sz w:val="24"/>
          <w:vertAlign w:val="subscript"/>
          <w14:textFill>
            <w14:solidFill>
              <w14:schemeClr w14:val="tx1"/>
            </w14:solidFill>
          </w14:textFill>
        </w:rPr>
        <w:t>9</w:t>
      </w:r>
      <w:r>
        <w:rPr>
          <w:rFonts w:hint="eastAsia" w:ascii="黑体" w:hAnsi="黑体" w:eastAsia="黑体" w:cs="黑体"/>
          <w:color w:val="000000" w:themeColor="text1"/>
          <w:sz w:val="24"/>
          <w14:textFill>
            <w14:solidFill>
              <w14:schemeClr w14:val="tx1"/>
            </w14:solidFill>
          </w14:textFill>
        </w:rPr>
        <w:t>（3</w:t>
      </w:r>
      <w:r>
        <w:rPr>
          <w:rFonts w:hint="eastAsia" w:ascii="黑体" w:hAnsi="黑体" w:eastAsia="黑体" w:cs="黑体"/>
          <w:color w:val="000000" w:themeColor="text1"/>
          <w:sz w:val="24"/>
          <w:vertAlign w:val="superscript"/>
          <w14:textFill>
            <w14:solidFill>
              <w14:schemeClr w14:val="tx1"/>
            </w14:solidFill>
          </w14:textFill>
        </w:rPr>
        <w:t>4</w:t>
      </w:r>
      <w:r>
        <w:rPr>
          <w:rFonts w:hint="eastAsia" w:ascii="黑体" w:hAnsi="黑体" w:eastAsia="黑体" w:cs="黑体"/>
          <w:color w:val="000000" w:themeColor="text1"/>
          <w:sz w:val="24"/>
          <w14:textFill>
            <w14:solidFill>
              <w14:schemeClr w14:val="tx1"/>
            </w14:solidFill>
          </w14:textFill>
        </w:rPr>
        <w:t>）正交实验条件及结果表</w:t>
      </w:r>
    </w:p>
    <w:tbl>
      <w:tblPr>
        <w:tblStyle w:val="6"/>
        <w:tblW w:w="8439"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7"/>
        <w:gridCol w:w="303"/>
        <w:gridCol w:w="1118"/>
        <w:gridCol w:w="1694"/>
        <w:gridCol w:w="1618"/>
        <w:gridCol w:w="1757"/>
        <w:gridCol w:w="108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1170" w:type="dxa"/>
            <w:gridSpan w:val="2"/>
            <w:tcBorders>
              <w:bottom w:val="single" w:color="auto" w:sz="6" w:space="0"/>
            </w:tcBorders>
            <w:shd w:val="clear" w:color="auto" w:fill="auto"/>
            <w:noWrap/>
            <w:vAlign w:val="center"/>
          </w:tcPr>
          <w:p>
            <w:pPr>
              <w:widowControl/>
              <w:spacing w:line="320" w:lineRule="exact"/>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试验号</w:t>
            </w:r>
          </w:p>
        </w:tc>
        <w:tc>
          <w:tcPr>
            <w:tcW w:w="1118" w:type="dxa"/>
            <w:tcBorders>
              <w:bottom w:val="single" w:color="auto" w:sz="6" w:space="0"/>
            </w:tcBorders>
            <w:shd w:val="clear" w:color="auto" w:fill="auto"/>
            <w:noWrap/>
            <w:vAlign w:val="center"/>
          </w:tcPr>
          <w:p>
            <w:pPr>
              <w:widowControl/>
              <w:spacing w:line="320" w:lineRule="exact"/>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A-灯电流（mA）</w:t>
            </w:r>
          </w:p>
        </w:tc>
        <w:tc>
          <w:tcPr>
            <w:tcW w:w="1694" w:type="dxa"/>
            <w:tcBorders>
              <w:bottom w:val="single" w:color="auto" w:sz="6" w:space="0"/>
            </w:tcBorders>
            <w:shd w:val="clear" w:color="auto" w:fill="auto"/>
            <w:noWrap/>
            <w:vAlign w:val="center"/>
          </w:tcPr>
          <w:p>
            <w:pPr>
              <w:widowControl/>
              <w:spacing w:line="320" w:lineRule="exact"/>
              <w:jc w:val="center"/>
              <w:textAlignment w:val="center"/>
              <w:rPr>
                <w:rFonts w:ascii="Times New Roman" w:hAnsi="Times New Roman" w:eastAsia="宋体" w:cs="Times New Roman"/>
                <w:color w:val="000000" w:themeColor="text1"/>
                <w:kern w:val="0"/>
                <w:sz w:val="24"/>
                <w:lang w:bidi="ar"/>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B-乙炔流量</w:t>
            </w:r>
          </w:p>
          <w:p>
            <w:pPr>
              <w:widowControl/>
              <w:spacing w:line="320" w:lineRule="exact"/>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（L/min）</w:t>
            </w:r>
          </w:p>
        </w:tc>
        <w:tc>
          <w:tcPr>
            <w:tcW w:w="1618" w:type="dxa"/>
            <w:tcBorders>
              <w:bottom w:val="single" w:color="auto" w:sz="6" w:space="0"/>
            </w:tcBorders>
            <w:shd w:val="clear" w:color="auto" w:fill="auto"/>
            <w:noWrap/>
            <w:vAlign w:val="center"/>
          </w:tcPr>
          <w:p>
            <w:pPr>
              <w:widowControl/>
              <w:spacing w:line="320" w:lineRule="exact"/>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C-狭缝宽度（nm）</w:t>
            </w:r>
          </w:p>
        </w:tc>
        <w:tc>
          <w:tcPr>
            <w:tcW w:w="1757" w:type="dxa"/>
            <w:tcBorders>
              <w:bottom w:val="single" w:color="auto" w:sz="6" w:space="0"/>
            </w:tcBorders>
            <w:shd w:val="clear" w:color="auto" w:fill="auto"/>
            <w:noWrap/>
            <w:vAlign w:val="center"/>
          </w:tcPr>
          <w:p>
            <w:pPr>
              <w:widowControl/>
              <w:spacing w:line="320" w:lineRule="exact"/>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D-燃烧头高度（mm）</w:t>
            </w:r>
          </w:p>
        </w:tc>
        <w:tc>
          <w:tcPr>
            <w:tcW w:w="1082" w:type="dxa"/>
            <w:tcBorders>
              <w:bottom w:val="single" w:color="auto" w:sz="6" w:space="0"/>
            </w:tcBorders>
            <w:shd w:val="clear" w:color="auto" w:fill="auto"/>
            <w:noWrap/>
            <w:vAlign w:val="center"/>
          </w:tcPr>
          <w:p>
            <w:pPr>
              <w:widowControl/>
              <w:spacing w:line="320" w:lineRule="exact"/>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吸光度</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867" w:type="dxa"/>
            <w:tcBorders>
              <w:top w:val="single" w:color="auto" w:sz="6" w:space="0"/>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w:t>
            </w:r>
          </w:p>
        </w:tc>
        <w:tc>
          <w:tcPr>
            <w:tcW w:w="1421" w:type="dxa"/>
            <w:gridSpan w:val="2"/>
            <w:tcBorders>
              <w:top w:val="single" w:color="auto" w:sz="6" w:space="0"/>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1（10）</w:t>
            </w:r>
          </w:p>
        </w:tc>
        <w:tc>
          <w:tcPr>
            <w:tcW w:w="1694" w:type="dxa"/>
            <w:tcBorders>
              <w:top w:val="single" w:color="auto" w:sz="6" w:space="0"/>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1（1.5）</w:t>
            </w:r>
          </w:p>
        </w:tc>
        <w:tc>
          <w:tcPr>
            <w:tcW w:w="1618" w:type="dxa"/>
            <w:tcBorders>
              <w:top w:val="single" w:color="auto" w:sz="6" w:space="0"/>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1（0.4）</w:t>
            </w:r>
          </w:p>
        </w:tc>
        <w:tc>
          <w:tcPr>
            <w:tcW w:w="1757" w:type="dxa"/>
            <w:tcBorders>
              <w:top w:val="single" w:color="auto" w:sz="6" w:space="0"/>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1（4）</w:t>
            </w:r>
          </w:p>
        </w:tc>
        <w:tc>
          <w:tcPr>
            <w:tcW w:w="1082" w:type="dxa"/>
            <w:tcBorders>
              <w:top w:val="single" w:color="auto" w:sz="6" w:space="0"/>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0.1924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1（10）</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2（1.8）</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2（0.7）</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2（7）</w:t>
            </w:r>
          </w:p>
        </w:tc>
        <w:tc>
          <w:tcPr>
            <w:tcW w:w="1082"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0.2218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3</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1（10）</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3（2.1）</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3（1.0）</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3（10）</w:t>
            </w:r>
          </w:p>
        </w:tc>
        <w:tc>
          <w:tcPr>
            <w:tcW w:w="1082"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0.2113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4</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2（14）</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1（1.5）</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2（0.7）</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3（10）</w:t>
            </w:r>
          </w:p>
        </w:tc>
        <w:tc>
          <w:tcPr>
            <w:tcW w:w="1082"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0.2138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5</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2（14）</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2（1.8）</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3（1.0）</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1（4）</w:t>
            </w:r>
          </w:p>
        </w:tc>
        <w:tc>
          <w:tcPr>
            <w:tcW w:w="1082"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0.2022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6</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2（14）</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3（2.1）</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1（0.4）</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2（7）</w:t>
            </w:r>
          </w:p>
        </w:tc>
        <w:tc>
          <w:tcPr>
            <w:tcW w:w="1082"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0.1975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7</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3（18）</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1（1.5）</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3（1.0）</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2（7）</w:t>
            </w:r>
          </w:p>
        </w:tc>
        <w:tc>
          <w:tcPr>
            <w:tcW w:w="1082"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0.2178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8</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3（18）</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2（1.8）</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1（0.4）</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3（10）</w:t>
            </w:r>
          </w:p>
        </w:tc>
        <w:tc>
          <w:tcPr>
            <w:tcW w:w="1082"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0.1994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9</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3（18）</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3（2.1）</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2（0.7）</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1（4）</w:t>
            </w:r>
          </w:p>
        </w:tc>
        <w:tc>
          <w:tcPr>
            <w:tcW w:w="1082"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0.2035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K</w:t>
            </w:r>
            <w:r>
              <w:rPr>
                <w:rFonts w:ascii="Times New Roman" w:hAnsi="Times New Roman" w:eastAsia="宋体" w:cs="Times New Roman"/>
                <w:color w:val="000000" w:themeColor="text1"/>
                <w:kern w:val="0"/>
                <w:sz w:val="24"/>
                <w:vertAlign w:val="subscript"/>
                <w:lang w:bidi="ar"/>
                <w14:textFill>
                  <w14:solidFill>
                    <w14:schemeClr w14:val="tx1"/>
                  </w14:solidFill>
                </w14:textFill>
              </w:rPr>
              <w:t>1</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0.6255</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0.624</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0.5893</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0.5981</w:t>
            </w:r>
          </w:p>
        </w:tc>
        <w:tc>
          <w:tcPr>
            <w:tcW w:w="1082" w:type="dxa"/>
            <w:tcBorders>
              <w:tl2br w:val="nil"/>
              <w:tr2bl w:val="nil"/>
            </w:tcBorders>
            <w:shd w:val="clear" w:color="auto" w:fill="auto"/>
            <w:noWrap/>
            <w:vAlign w:val="center"/>
          </w:tcPr>
          <w:p>
            <w:pPr>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K</w:t>
            </w:r>
            <w:r>
              <w:rPr>
                <w:rFonts w:ascii="Times New Roman" w:hAnsi="Times New Roman" w:eastAsia="宋体" w:cs="Times New Roman"/>
                <w:color w:val="000000" w:themeColor="text1"/>
                <w:kern w:val="0"/>
                <w:sz w:val="24"/>
                <w:vertAlign w:val="subscript"/>
                <w:lang w:bidi="ar"/>
                <w14:textFill>
                  <w14:solidFill>
                    <w14:schemeClr w14:val="tx1"/>
                  </w14:solidFill>
                </w14:textFill>
              </w:rPr>
              <w:t>2</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0.6135</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0.6234</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0.6391</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0.6371</w:t>
            </w:r>
          </w:p>
        </w:tc>
        <w:tc>
          <w:tcPr>
            <w:tcW w:w="1082" w:type="dxa"/>
            <w:tcBorders>
              <w:tl2br w:val="nil"/>
              <w:tr2bl w:val="nil"/>
            </w:tcBorders>
            <w:shd w:val="clear" w:color="auto" w:fill="auto"/>
            <w:noWrap/>
            <w:vAlign w:val="center"/>
          </w:tcPr>
          <w:p>
            <w:pPr>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2"/>
                <w:szCs w:val="28"/>
                <w14:textFill>
                  <w14:solidFill>
                    <w14:schemeClr w14:val="tx1"/>
                  </w14:solidFill>
                </w14:textFill>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K</w:t>
            </w:r>
            <w:r>
              <w:rPr>
                <w:rFonts w:ascii="Times New Roman" w:hAnsi="Times New Roman" w:eastAsia="宋体" w:cs="Times New Roman"/>
                <w:color w:val="000000" w:themeColor="text1"/>
                <w:kern w:val="0"/>
                <w:sz w:val="24"/>
                <w:vertAlign w:val="subscript"/>
                <w:lang w:bidi="ar"/>
                <w14:textFill>
                  <w14:solidFill>
                    <w14:schemeClr w14:val="tx1"/>
                  </w14:solidFill>
                </w14:textFill>
              </w:rPr>
              <w:t>3</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0.6207</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0.6123</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0.6313</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0.6245</w:t>
            </w:r>
          </w:p>
        </w:tc>
        <w:tc>
          <w:tcPr>
            <w:tcW w:w="1082" w:type="dxa"/>
            <w:tcBorders>
              <w:tl2br w:val="nil"/>
              <w:tr2bl w:val="nil"/>
            </w:tcBorders>
            <w:shd w:val="clear" w:color="auto" w:fill="auto"/>
            <w:noWrap/>
            <w:vAlign w:val="center"/>
          </w:tcPr>
          <w:p>
            <w:pPr>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2"/>
                <w:szCs w:val="28"/>
                <w14:textFill>
                  <w14:solidFill>
                    <w14:schemeClr w14:val="tx1"/>
                  </w14:solidFill>
                </w14:textFill>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k</w:t>
            </w:r>
            <w:r>
              <w:rPr>
                <w:rFonts w:ascii="Times New Roman" w:hAnsi="Times New Roman" w:eastAsia="宋体" w:cs="Times New Roman"/>
                <w:color w:val="000000" w:themeColor="text1"/>
                <w:kern w:val="0"/>
                <w:sz w:val="24"/>
                <w:vertAlign w:val="subscript"/>
                <w:lang w:bidi="ar"/>
                <w14:textFill>
                  <w14:solidFill>
                    <w14:schemeClr w14:val="tx1"/>
                  </w14:solidFill>
                </w14:textFill>
              </w:rPr>
              <w:t>1</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0.2085</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0.2080</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0.1964</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0.1994</w:t>
            </w:r>
          </w:p>
        </w:tc>
        <w:tc>
          <w:tcPr>
            <w:tcW w:w="1082" w:type="dxa"/>
            <w:tcBorders>
              <w:tl2br w:val="nil"/>
              <w:tr2bl w:val="nil"/>
            </w:tcBorders>
            <w:shd w:val="clear" w:color="auto" w:fill="auto"/>
            <w:noWrap/>
            <w:vAlign w:val="center"/>
          </w:tcPr>
          <w:p>
            <w:pPr>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2"/>
                <w:szCs w:val="28"/>
                <w14:textFill>
                  <w14:solidFill>
                    <w14:schemeClr w14:val="tx1"/>
                  </w14:solidFill>
                </w14:textFill>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k</w:t>
            </w:r>
            <w:r>
              <w:rPr>
                <w:rFonts w:ascii="Times New Roman" w:hAnsi="Times New Roman" w:eastAsia="宋体" w:cs="Times New Roman"/>
                <w:color w:val="000000" w:themeColor="text1"/>
                <w:kern w:val="0"/>
                <w:sz w:val="24"/>
                <w:vertAlign w:val="subscript"/>
                <w:lang w:bidi="ar"/>
                <w14:textFill>
                  <w14:solidFill>
                    <w14:schemeClr w14:val="tx1"/>
                  </w14:solidFill>
                </w14:textFill>
              </w:rPr>
              <w:t>2</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0.2045</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0.2078</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0.2130</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0.2124</w:t>
            </w:r>
          </w:p>
        </w:tc>
        <w:tc>
          <w:tcPr>
            <w:tcW w:w="1082" w:type="dxa"/>
            <w:tcBorders>
              <w:tl2br w:val="nil"/>
              <w:tr2bl w:val="nil"/>
            </w:tcBorders>
            <w:shd w:val="clear" w:color="auto" w:fill="auto"/>
            <w:noWrap/>
            <w:vAlign w:val="center"/>
          </w:tcPr>
          <w:p>
            <w:pPr>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2"/>
                <w:szCs w:val="28"/>
                <w14:textFill>
                  <w14:solidFill>
                    <w14:schemeClr w14:val="tx1"/>
                  </w14:solidFill>
                </w14:textFill>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k</w:t>
            </w:r>
            <w:r>
              <w:rPr>
                <w:rFonts w:ascii="Times New Roman" w:hAnsi="Times New Roman" w:eastAsia="宋体" w:cs="Times New Roman"/>
                <w:color w:val="000000" w:themeColor="text1"/>
                <w:kern w:val="0"/>
                <w:sz w:val="24"/>
                <w:vertAlign w:val="subscript"/>
                <w:lang w:bidi="ar"/>
                <w14:textFill>
                  <w14:solidFill>
                    <w14:schemeClr w14:val="tx1"/>
                  </w14:solidFill>
                </w14:textFill>
              </w:rPr>
              <w:t>3</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0.2069</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0.2041</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0.2104</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0.2082</w:t>
            </w:r>
          </w:p>
        </w:tc>
        <w:tc>
          <w:tcPr>
            <w:tcW w:w="1082" w:type="dxa"/>
            <w:tcBorders>
              <w:tl2br w:val="nil"/>
              <w:tr2bl w:val="nil"/>
            </w:tcBorders>
            <w:shd w:val="clear" w:color="auto" w:fill="auto"/>
            <w:noWrap/>
            <w:vAlign w:val="center"/>
          </w:tcPr>
          <w:p>
            <w:pPr>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2"/>
                <w:szCs w:val="28"/>
                <w14:textFill>
                  <w14:solidFill>
                    <w14:schemeClr w14:val="tx1"/>
                  </w14:solidFill>
                </w14:textFill>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R</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0.0040</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0.0039</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0.0166</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0.0130</w:t>
            </w:r>
          </w:p>
        </w:tc>
        <w:tc>
          <w:tcPr>
            <w:tcW w:w="1082" w:type="dxa"/>
            <w:tcBorders>
              <w:tl2br w:val="nil"/>
              <w:tr2bl w:val="nil"/>
            </w:tcBorders>
            <w:shd w:val="clear" w:color="auto" w:fill="auto"/>
            <w:noWrap/>
            <w:vAlign w:val="center"/>
          </w:tcPr>
          <w:p>
            <w:pPr>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2"/>
                <w:szCs w:val="28"/>
                <w14:textFill>
                  <w14:solidFill>
                    <w14:schemeClr w14:val="tx1"/>
                  </w14:solidFill>
                </w14:textFill>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jc w:val="center"/>
        </w:trPr>
        <w:tc>
          <w:tcPr>
            <w:tcW w:w="86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优水平</w:t>
            </w:r>
          </w:p>
        </w:tc>
        <w:tc>
          <w:tcPr>
            <w:tcW w:w="1421" w:type="dxa"/>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A</w:t>
            </w:r>
            <w:r>
              <w:rPr>
                <w:rFonts w:ascii="Times New Roman" w:hAnsi="Times New Roman" w:eastAsia="宋体" w:cs="Times New Roman"/>
                <w:color w:val="000000" w:themeColor="text1"/>
                <w:kern w:val="0"/>
                <w:sz w:val="24"/>
                <w:vertAlign w:val="subscript"/>
                <w:lang w:bidi="ar"/>
                <w14:textFill>
                  <w14:solidFill>
                    <w14:schemeClr w14:val="tx1"/>
                  </w14:solidFill>
                </w14:textFill>
              </w:rPr>
              <w:t>1</w:t>
            </w:r>
          </w:p>
        </w:tc>
        <w:tc>
          <w:tcPr>
            <w:tcW w:w="1694"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B</w:t>
            </w:r>
            <w:r>
              <w:rPr>
                <w:rFonts w:hint="eastAsia" w:ascii="Times New Roman" w:hAnsi="Times New Roman" w:eastAsia="宋体" w:cs="Times New Roman"/>
                <w:color w:val="000000" w:themeColor="text1"/>
                <w:kern w:val="0"/>
                <w:sz w:val="24"/>
                <w:vertAlign w:val="subscript"/>
                <w:lang w:bidi="ar"/>
                <w14:textFill>
                  <w14:solidFill>
                    <w14:schemeClr w14:val="tx1"/>
                  </w14:solidFill>
                </w14:textFill>
              </w:rPr>
              <w:t>1</w:t>
            </w:r>
          </w:p>
        </w:tc>
        <w:tc>
          <w:tcPr>
            <w:tcW w:w="1618"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C</w:t>
            </w:r>
            <w:r>
              <w:rPr>
                <w:rFonts w:ascii="Times New Roman" w:hAnsi="Times New Roman" w:eastAsia="宋体" w:cs="Times New Roman"/>
                <w:color w:val="000000" w:themeColor="text1"/>
                <w:kern w:val="0"/>
                <w:sz w:val="24"/>
                <w:vertAlign w:val="subscript"/>
                <w:lang w:bidi="ar"/>
                <w14:textFill>
                  <w14:solidFill>
                    <w14:schemeClr w14:val="tx1"/>
                  </w14:solidFill>
                </w14:textFill>
              </w:rPr>
              <w:t>2</w:t>
            </w:r>
          </w:p>
        </w:tc>
        <w:tc>
          <w:tcPr>
            <w:tcW w:w="1757"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D</w:t>
            </w:r>
            <w:r>
              <w:rPr>
                <w:rFonts w:ascii="Times New Roman" w:hAnsi="Times New Roman" w:eastAsia="宋体" w:cs="Times New Roman"/>
                <w:color w:val="000000" w:themeColor="text1"/>
                <w:kern w:val="0"/>
                <w:sz w:val="24"/>
                <w:vertAlign w:val="subscript"/>
                <w:lang w:bidi="ar"/>
                <w14:textFill>
                  <w14:solidFill>
                    <w14:schemeClr w14:val="tx1"/>
                  </w14:solidFill>
                </w14:textFill>
              </w:rPr>
              <w:t>2</w:t>
            </w:r>
          </w:p>
        </w:tc>
        <w:tc>
          <w:tcPr>
            <w:tcW w:w="1082" w:type="dxa"/>
            <w:tcBorders>
              <w:tl2br w:val="nil"/>
              <w:tr2bl w:val="nil"/>
            </w:tcBorders>
            <w:shd w:val="clear" w:color="auto" w:fill="auto"/>
            <w:noWrap/>
            <w:vAlign w:val="center"/>
          </w:tcPr>
          <w:p>
            <w:pPr>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2"/>
                <w:szCs w:val="28"/>
                <w14:textFill>
                  <w14:solidFill>
                    <w14:schemeClr w14:val="tx1"/>
                  </w14:solidFill>
                </w14:textFill>
              </w:rPr>
              <w:t>-</w:t>
            </w:r>
          </w:p>
        </w:tc>
      </w:tr>
    </w:tbl>
    <w:p>
      <w:pPr>
        <w:spacing w:line="440" w:lineRule="exact"/>
        <w:ind w:firstLine="480" w:firstLineChars="200"/>
        <w:jc w:val="left"/>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由</w:t>
      </w:r>
      <w:r>
        <w:rPr>
          <w:rFonts w:hint="eastAsia" w:ascii="Times New Roman" w:hAnsi="Times New Roman" w:cs="Times New Roman"/>
          <w:color w:val="000000" w:themeColor="text1"/>
          <w:sz w:val="24"/>
          <w14:textFill>
            <w14:solidFill>
              <w14:schemeClr w14:val="tx1"/>
            </w14:solidFill>
          </w14:textFill>
        </w:rPr>
        <w:t>表3</w:t>
      </w:r>
      <w:r>
        <w:rPr>
          <w:rFonts w:ascii="Times New Roman" w:hAnsi="Times New Roman" w:cs="Times New Roman"/>
          <w:color w:val="000000" w:themeColor="text1"/>
          <w:sz w:val="24"/>
          <w14:textFill>
            <w14:solidFill>
              <w14:schemeClr w14:val="tx1"/>
            </w14:solidFill>
          </w14:textFill>
        </w:rPr>
        <w:t>的计算数据可得出A-灯电流、B-乙炔流量、C-狭缝宽度和D-燃烧头高度的极差分别为0.0040、0.0039、0.0166和0.0130。极差值</w:t>
      </w:r>
      <w:r>
        <w:rPr>
          <w:rFonts w:hint="eastAsia" w:cs="Times New Roman"/>
          <w:color w:val="000000" w:themeColor="text1"/>
          <w:sz w:val="24"/>
          <w14:textFill>
            <w14:solidFill>
              <w14:schemeClr w14:val="tx1"/>
            </w14:solidFill>
          </w14:textFill>
        </w:rPr>
        <w:t>越大</w:t>
      </w:r>
      <w:r>
        <w:rPr>
          <w:rFonts w:ascii="Times New Roman" w:hAnsi="Times New Roman" w:cs="Times New Roman"/>
          <w:color w:val="000000" w:themeColor="text1"/>
          <w:sz w:val="24"/>
          <w14:textFill>
            <w14:solidFill>
              <w14:schemeClr w14:val="tx1"/>
            </w14:solidFill>
          </w14:textFill>
        </w:rPr>
        <w:t>，</w:t>
      </w:r>
      <w:r>
        <w:rPr>
          <w:rFonts w:hint="eastAsia" w:cs="Times New Roman"/>
          <w:color w:val="000000" w:themeColor="text1"/>
          <w:sz w:val="24"/>
          <w14:textFill>
            <w14:solidFill>
              <w14:schemeClr w14:val="tx1"/>
            </w14:solidFill>
          </w14:textFill>
        </w:rPr>
        <w:t>表明</w:t>
      </w:r>
      <w:r>
        <w:rPr>
          <w:rFonts w:ascii="Times New Roman" w:hAnsi="Times New Roman" w:cs="Times New Roman"/>
          <w:color w:val="000000" w:themeColor="text1"/>
          <w:sz w:val="24"/>
          <w14:textFill>
            <w14:solidFill>
              <w14:schemeClr w14:val="tx1"/>
            </w14:solidFill>
          </w14:textFill>
        </w:rPr>
        <w:t>这个因素对吸光度的影响</w:t>
      </w:r>
      <w:r>
        <w:rPr>
          <w:rFonts w:hint="eastAsia" w:cs="Times New Roman"/>
          <w:color w:val="000000" w:themeColor="text1"/>
          <w:sz w:val="24"/>
          <w14:textFill>
            <w14:solidFill>
              <w14:schemeClr w14:val="tx1"/>
            </w14:solidFill>
          </w14:textFill>
        </w:rPr>
        <w:t>也越大</w:t>
      </w:r>
      <w:r>
        <w:rPr>
          <w:rFonts w:ascii="Times New Roman" w:hAnsi="Times New Roman" w:cs="Times New Roman"/>
          <w:color w:val="000000" w:themeColor="text1"/>
          <w:sz w:val="24"/>
          <w14:textFill>
            <w14:solidFill>
              <w14:schemeClr w14:val="tx1"/>
            </w14:solidFill>
          </w14:textFill>
        </w:rPr>
        <w:t>，可以认为是主要因素</w:t>
      </w:r>
      <w:r>
        <w:rPr>
          <w:rFonts w:hint="eastAsia" w:cs="Times New Roman"/>
          <w:color w:val="000000" w:themeColor="text1"/>
          <w:sz w:val="24"/>
          <w14:textFill>
            <w14:solidFill>
              <w14:schemeClr w14:val="tx1"/>
            </w14:solidFill>
          </w14:textFill>
        </w:rPr>
        <w:t>，</w:t>
      </w:r>
      <w:r>
        <w:rPr>
          <w:rFonts w:ascii="Times New Roman" w:hAnsi="Times New Roman" w:cs="Times New Roman"/>
          <w:color w:val="000000" w:themeColor="text1"/>
          <w:sz w:val="24"/>
          <w14:textFill>
            <w14:solidFill>
              <w14:schemeClr w14:val="tx1"/>
            </w14:solidFill>
          </w14:textFill>
        </w:rPr>
        <w:t>换句话说，该因素的水平变化对吸光度的影响</w:t>
      </w:r>
      <w:r>
        <w:rPr>
          <w:rFonts w:hint="eastAsia" w:cs="Times New Roman"/>
          <w:color w:val="000000" w:themeColor="text1"/>
          <w:sz w:val="24"/>
          <w14:textFill>
            <w14:solidFill>
              <w14:schemeClr w14:val="tx1"/>
            </w14:solidFill>
          </w14:textFill>
        </w:rPr>
        <w:t>也</w:t>
      </w:r>
      <w:r>
        <w:rPr>
          <w:rFonts w:ascii="Times New Roman" w:hAnsi="Times New Roman" w:cs="Times New Roman"/>
          <w:color w:val="000000" w:themeColor="text1"/>
          <w:sz w:val="24"/>
          <w14:textFill>
            <w14:solidFill>
              <w14:schemeClr w14:val="tx1"/>
            </w14:solidFill>
          </w14:textFill>
        </w:rPr>
        <w:t>是最显著的。</w:t>
      </w:r>
      <w:r>
        <w:rPr>
          <w:rFonts w:hint="eastAsia" w:cs="Times New Roman"/>
          <w:color w:val="000000" w:themeColor="text1"/>
          <w:sz w:val="24"/>
          <w14:textFill>
            <w14:solidFill>
              <w14:schemeClr w14:val="tx1"/>
            </w14:solidFill>
          </w14:textFill>
        </w:rPr>
        <w:t>反之，</w:t>
      </w:r>
      <w:r>
        <w:rPr>
          <w:rFonts w:ascii="Times New Roman" w:hAnsi="Times New Roman" w:cs="Times New Roman"/>
          <w:color w:val="000000" w:themeColor="text1"/>
          <w:sz w:val="24"/>
          <w14:textFill>
            <w14:solidFill>
              <w14:schemeClr w14:val="tx1"/>
            </w14:solidFill>
          </w14:textFill>
        </w:rPr>
        <w:t>极差</w:t>
      </w:r>
      <w:r>
        <w:rPr>
          <w:rFonts w:hint="eastAsia" w:cs="Times New Roman"/>
          <w:color w:val="000000" w:themeColor="text1"/>
          <w:sz w:val="24"/>
          <w14:textFill>
            <w14:solidFill>
              <w14:schemeClr w14:val="tx1"/>
            </w14:solidFill>
          </w14:textFill>
        </w:rPr>
        <w:t>值</w:t>
      </w:r>
      <w:r>
        <w:rPr>
          <w:rFonts w:ascii="Times New Roman" w:hAnsi="Times New Roman" w:cs="Times New Roman"/>
          <w:color w:val="000000" w:themeColor="text1"/>
          <w:sz w:val="24"/>
          <w14:textFill>
            <w14:solidFill>
              <w14:schemeClr w14:val="tx1"/>
            </w14:solidFill>
          </w14:textFill>
        </w:rPr>
        <w:t>较小的则是次要因素。通过比较可得出，四个因素的极差大小满足C＞D＞A＞B，说明狭缝宽度对吸光度影响最大，其次则是燃烧头高度。</w:t>
      </w:r>
      <w:r>
        <w:rPr>
          <w:rFonts w:hint="eastAsia" w:ascii="Times New Roman" w:hAnsi="Times New Roman" w:cs="Times New Roman"/>
          <w:color w:val="000000" w:themeColor="text1"/>
          <w:sz w:val="24"/>
          <w14:textFill>
            <w14:solidFill>
              <w14:schemeClr w14:val="tx1"/>
            </w14:solidFill>
          </w14:textFill>
        </w:rPr>
        <w:t>另外通过对实验指标加和k</w:t>
      </w:r>
      <w:r>
        <w:rPr>
          <w:rFonts w:hint="eastAsia" w:ascii="Times New Roman" w:hAnsi="Times New Roman" w:cs="Times New Roman"/>
          <w:color w:val="000000" w:themeColor="text1"/>
          <w:sz w:val="24"/>
          <w:vertAlign w:val="subscript"/>
          <w14:textFill>
            <w14:solidFill>
              <w14:schemeClr w14:val="tx1"/>
            </w14:solidFill>
          </w14:textFill>
        </w:rPr>
        <w:t>i</w:t>
      </w:r>
      <w:r>
        <w:rPr>
          <w:rFonts w:hint="eastAsia" w:ascii="Times New Roman" w:hAnsi="Times New Roman" w:cs="Times New Roman"/>
          <w:color w:val="000000" w:themeColor="text1"/>
          <w:sz w:val="24"/>
          <w14:textFill>
            <w14:solidFill>
              <w14:schemeClr w14:val="tx1"/>
            </w14:solidFill>
          </w14:textFill>
        </w:rPr>
        <w:t>的比较，找出每列的最大值，可得最优水平为A</w:t>
      </w:r>
      <w:r>
        <w:rPr>
          <w:rFonts w:hint="eastAsia" w:ascii="Times New Roman" w:hAnsi="Times New Roman" w:cs="Times New Roman"/>
          <w:color w:val="000000" w:themeColor="text1"/>
          <w:sz w:val="24"/>
          <w:vertAlign w:val="subscript"/>
          <w14:textFill>
            <w14:solidFill>
              <w14:schemeClr w14:val="tx1"/>
            </w14:solidFill>
          </w14:textFill>
        </w:rPr>
        <w:t>1</w:t>
      </w:r>
      <w:r>
        <w:rPr>
          <w:rFonts w:hint="eastAsia" w:ascii="Times New Roman" w:hAnsi="Times New Roman" w:cs="Times New Roman"/>
          <w:color w:val="000000" w:themeColor="text1"/>
          <w:sz w:val="24"/>
          <w14:textFill>
            <w14:solidFill>
              <w14:schemeClr w14:val="tx1"/>
            </w14:solidFill>
          </w14:textFill>
        </w:rPr>
        <w:t>B</w:t>
      </w:r>
      <w:r>
        <w:rPr>
          <w:rFonts w:hint="eastAsia" w:ascii="Times New Roman" w:hAnsi="Times New Roman" w:cs="Times New Roman"/>
          <w:color w:val="000000" w:themeColor="text1"/>
          <w:sz w:val="24"/>
          <w:vertAlign w:val="subscript"/>
          <w14:textFill>
            <w14:solidFill>
              <w14:schemeClr w14:val="tx1"/>
            </w14:solidFill>
          </w14:textFill>
        </w:rPr>
        <w:t>1</w:t>
      </w:r>
      <w:r>
        <w:rPr>
          <w:rFonts w:hint="eastAsia" w:ascii="Times New Roman" w:hAnsi="Times New Roman" w:cs="Times New Roman"/>
          <w:color w:val="000000" w:themeColor="text1"/>
          <w:sz w:val="24"/>
          <w14:textFill>
            <w14:solidFill>
              <w14:schemeClr w14:val="tx1"/>
            </w14:solidFill>
          </w14:textFill>
        </w:rPr>
        <w:t>C</w:t>
      </w:r>
      <w:r>
        <w:rPr>
          <w:rFonts w:hint="eastAsia" w:ascii="Times New Roman" w:hAnsi="Times New Roman" w:cs="Times New Roman"/>
          <w:color w:val="000000" w:themeColor="text1"/>
          <w:sz w:val="24"/>
          <w:vertAlign w:val="subscript"/>
          <w14:textFill>
            <w14:solidFill>
              <w14:schemeClr w14:val="tx1"/>
            </w14:solidFill>
          </w14:textFill>
        </w:rPr>
        <w:t>2</w:t>
      </w:r>
      <w:r>
        <w:rPr>
          <w:rFonts w:hint="eastAsia" w:ascii="Times New Roman" w:hAnsi="Times New Roman" w:cs="Times New Roman"/>
          <w:color w:val="000000" w:themeColor="text1"/>
          <w:sz w:val="24"/>
          <w14:textFill>
            <w14:solidFill>
              <w14:schemeClr w14:val="tx1"/>
            </w14:solidFill>
          </w14:textFill>
        </w:rPr>
        <w:t>D</w:t>
      </w:r>
      <w:r>
        <w:rPr>
          <w:rFonts w:hint="eastAsia" w:ascii="Times New Roman" w:hAnsi="Times New Roman" w:cs="Times New Roman"/>
          <w:color w:val="000000" w:themeColor="text1"/>
          <w:sz w:val="24"/>
          <w:vertAlign w:val="subscript"/>
          <w14:textFill>
            <w14:solidFill>
              <w14:schemeClr w14:val="tx1"/>
            </w14:solidFill>
          </w14:textFill>
        </w:rPr>
        <w:t>2</w:t>
      </w:r>
      <w:r>
        <w:rPr>
          <w:rFonts w:hint="eastAsia" w:ascii="Times New Roman" w:hAnsi="Times New Roman" w:cs="Times New Roman"/>
          <w:color w:val="000000" w:themeColor="text1"/>
          <w:sz w:val="24"/>
          <w14:textFill>
            <w14:solidFill>
              <w14:schemeClr w14:val="tx1"/>
            </w14:solidFill>
          </w14:textFill>
        </w:rPr>
        <w:t>，说明在灯电流为10 mA、乙炔流量为1.5 L/min、狭缝宽度为0.7 nm、燃烧头高度为7 mm时是最优仪器条件。</w:t>
      </w:r>
    </w:p>
    <w:p>
      <w:pPr>
        <w:tabs>
          <w:tab w:val="left" w:pos="636"/>
        </w:tabs>
        <w:spacing w:line="360" w:lineRule="auto"/>
        <w:rPr>
          <w:rFonts w:ascii="黑体" w:hAnsi="黑体" w:eastAsia="黑体" w:cs="黑体"/>
          <w:sz w:val="24"/>
        </w:rPr>
      </w:pPr>
    </w:p>
    <w:p>
      <w:pPr>
        <w:tabs>
          <w:tab w:val="left" w:pos="636"/>
        </w:tabs>
        <w:spacing w:line="360" w:lineRule="auto"/>
        <w:rPr>
          <w:rFonts w:ascii="黑体" w:hAnsi="黑体" w:eastAsia="黑体" w:cs="黑体"/>
          <w:sz w:val="24"/>
        </w:rPr>
      </w:pPr>
      <w:r>
        <w:rPr>
          <w:rFonts w:hint="eastAsia" w:ascii="黑体" w:hAnsi="黑体" w:eastAsia="黑体" w:cs="黑体"/>
          <w:sz w:val="24"/>
        </w:rPr>
        <w:t>3.3 温度对离子交换树脂金吸附效率的影响</w:t>
      </w:r>
    </w:p>
    <w:p>
      <w:pPr>
        <w:spacing w:line="440" w:lineRule="exact"/>
        <w:ind w:firstLine="480" w:firstLineChars="200"/>
        <w:jc w:val="left"/>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研究温度对金吸附效率的影响，设置5个温度梯度，金标准溶液的温度分别设置为10℃、20℃、30℃、40℃和50℃。取配制好的30瓶浓度为5.00 μg/mL的金离子标准溶液，并盛于50 mL容量瓶中。分为5组，每组6瓶，即每种温度条件下进行6次独立测试，利用冷却水循环和恒温水浴锅来控制及维持金标准溶液的温度，完成金的吸附交换实验，收集过柱后的溶液，最后使用火焰原子吸收光谱仪测定过柱后的浓度，并计算平均值和吸附效率AE（过柱前金标准溶液浓度减去过柱后金标准溶液浓度占过柱前金标准溶液浓度的百分比）。同时绘制温度与金的吸附效率变化曲线图，详见图3。</w:t>
      </w:r>
    </w:p>
    <w:p>
      <w:pPr>
        <w:spacing w:line="360" w:lineRule="auto"/>
        <w:ind w:firstLine="480" w:firstLineChars="200"/>
        <w:jc w:val="center"/>
        <w:rPr>
          <w:rFonts w:hint="eastAsia" w:ascii="黑体" w:hAnsi="黑体" w:eastAsia="黑体" w:cs="黑体"/>
          <w:sz w:val="24"/>
          <w:szCs w:val="24"/>
        </w:rPr>
      </w:pPr>
      <w:r>
        <w:rPr>
          <w:rFonts w:hint="eastAsia" w:ascii="黑体" w:hAnsi="黑体" w:eastAsia="黑体" w:cs="黑体"/>
          <w:sz w:val="24"/>
          <w:szCs w:val="24"/>
        </w:rPr>
        <w:drawing>
          <wp:anchor distT="0" distB="0" distL="114300" distR="114300" simplePos="0" relativeHeight="251660288" behindDoc="0" locked="0" layoutInCell="1" allowOverlap="1">
            <wp:simplePos x="0" y="0"/>
            <wp:positionH relativeFrom="column">
              <wp:posOffset>497205</wp:posOffset>
            </wp:positionH>
            <wp:positionV relativeFrom="paragraph">
              <wp:posOffset>31750</wp:posOffset>
            </wp:positionV>
            <wp:extent cx="4572000" cy="2743200"/>
            <wp:effectExtent l="0" t="0" r="0" b="0"/>
            <wp:wrapTopAndBottom/>
            <wp:docPr id="3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9"/>
                    <pic:cNvPicPr>
                      <a:picLocks noChangeAspect="1"/>
                    </pic:cNvPicPr>
                  </pic:nvPicPr>
                  <pic:blipFill>
                    <a:blip r:embed="rId9"/>
                    <a:stretch>
                      <a:fillRect/>
                    </a:stretch>
                  </pic:blipFill>
                  <pic:spPr>
                    <a:xfrm>
                      <a:off x="0" y="0"/>
                      <a:ext cx="4572000" cy="2743200"/>
                    </a:xfrm>
                    <a:prstGeom prst="rect">
                      <a:avLst/>
                    </a:prstGeom>
                    <a:noFill/>
                    <a:ln>
                      <a:noFill/>
                    </a:ln>
                  </pic:spPr>
                </pic:pic>
              </a:graphicData>
            </a:graphic>
          </wp:anchor>
        </w:drawing>
      </w:r>
      <w:r>
        <w:rPr>
          <w:rFonts w:hint="eastAsia" w:ascii="黑体" w:hAnsi="黑体" w:eastAsia="黑体" w:cs="黑体"/>
          <w:sz w:val="24"/>
          <w:szCs w:val="24"/>
        </w:rPr>
        <w:t>图3 不同温度对金吸附效率的变化曲线</w:t>
      </w:r>
    </w:p>
    <w:p>
      <w:pPr>
        <w:widowControl/>
        <w:adjustRightInd w:val="0"/>
        <w:snapToGrid w:val="0"/>
        <w:spacing w:before="312" w:beforeLines="100" w:after="312" w:afterLines="100" w:line="440" w:lineRule="exact"/>
        <w:ind w:firstLine="480" w:firstLineChars="200"/>
        <w:rPr>
          <w:rFonts w:ascii="Times New Roman" w:hAnsi="Times New Roman" w:eastAsia="宋体" w:cs="Times New Roman"/>
          <w:color w:val="000000" w:themeColor="text1"/>
          <w:kern w:val="0"/>
          <w:sz w:val="24"/>
          <w:lang w:bidi="ar"/>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通过分析上图可知</w:t>
      </w:r>
      <w:r>
        <w:rPr>
          <w:rFonts w:hint="eastAsia" w:ascii="Times New Roman" w:hAnsi="Times New Roman" w:eastAsia="宋体" w:cs="Times New Roman"/>
          <w:color w:val="000000" w:themeColor="text1"/>
          <w:kern w:val="0"/>
          <w:sz w:val="24"/>
          <w:lang w:bidi="ar"/>
          <w14:textFill>
            <w14:solidFill>
              <w14:schemeClr w14:val="tx1"/>
            </w14:solidFill>
          </w14:textFill>
        </w:rPr>
        <w:t>，</w:t>
      </w:r>
      <w:r>
        <w:rPr>
          <w:rFonts w:ascii="Times New Roman" w:hAnsi="Times New Roman" w:eastAsia="宋体" w:cs="Times New Roman"/>
          <w:color w:val="000000" w:themeColor="text1"/>
          <w:kern w:val="0"/>
          <w:sz w:val="24"/>
          <w:lang w:bidi="ar"/>
          <w14:textFill>
            <w14:solidFill>
              <w14:schemeClr w14:val="tx1"/>
            </w14:solidFill>
          </w14:textFill>
        </w:rPr>
        <w:t>5个温度下的吸附效率基本一致</w:t>
      </w:r>
      <w:r>
        <w:rPr>
          <w:rFonts w:hint="eastAsia" w:ascii="Times New Roman" w:hAnsi="Times New Roman" w:eastAsia="宋体" w:cs="Times New Roman"/>
          <w:color w:val="000000" w:themeColor="text1"/>
          <w:kern w:val="0"/>
          <w:sz w:val="24"/>
          <w:lang w:bidi="ar"/>
          <w14:textFill>
            <w14:solidFill>
              <w14:schemeClr w14:val="tx1"/>
            </w14:solidFill>
          </w14:textFill>
        </w:rPr>
        <w:t>，</w:t>
      </w:r>
      <w:r>
        <w:rPr>
          <w:rFonts w:ascii="Times New Roman" w:hAnsi="Times New Roman" w:eastAsia="宋体" w:cs="Times New Roman"/>
          <w:color w:val="000000" w:themeColor="text1"/>
          <w:kern w:val="0"/>
          <w:sz w:val="24"/>
          <w:lang w:bidi="ar"/>
          <w14:textFill>
            <w14:solidFill>
              <w14:schemeClr w14:val="tx1"/>
            </w14:solidFill>
          </w14:textFill>
        </w:rPr>
        <w:t>处于9</w:t>
      </w:r>
      <w:r>
        <w:rPr>
          <w:rFonts w:hint="eastAsia" w:ascii="Times New Roman" w:hAnsi="Times New Roman" w:eastAsia="宋体" w:cs="Times New Roman"/>
          <w:color w:val="000000" w:themeColor="text1"/>
          <w:kern w:val="0"/>
          <w:sz w:val="24"/>
          <w:lang w:bidi="ar"/>
          <w14:textFill>
            <w14:solidFill>
              <w14:schemeClr w14:val="tx1"/>
            </w14:solidFill>
          </w14:textFill>
        </w:rPr>
        <w:t>8.1</w:t>
      </w:r>
      <w:r>
        <w:rPr>
          <w:rFonts w:ascii="Times New Roman" w:hAnsi="Times New Roman" w:eastAsia="宋体" w:cs="Times New Roman"/>
          <w:color w:val="000000" w:themeColor="text1"/>
          <w:kern w:val="0"/>
          <w:sz w:val="24"/>
          <w:lang w:bidi="ar"/>
          <w14:textFill>
            <w14:solidFill>
              <w14:schemeClr w14:val="tx1"/>
            </w14:solidFill>
          </w14:textFill>
        </w:rPr>
        <w:t>%~</w:t>
      </w:r>
      <w:r>
        <w:rPr>
          <w:rFonts w:hint="eastAsia" w:ascii="Times New Roman" w:hAnsi="Times New Roman" w:eastAsia="宋体" w:cs="Times New Roman"/>
          <w:color w:val="000000" w:themeColor="text1"/>
          <w:kern w:val="0"/>
          <w:sz w:val="24"/>
          <w:lang w:bidi="ar"/>
          <w14:textFill>
            <w14:solidFill>
              <w14:schemeClr w14:val="tx1"/>
            </w14:solidFill>
          </w14:textFill>
        </w:rPr>
        <w:t>98.6%</w:t>
      </w:r>
      <w:r>
        <w:rPr>
          <w:rFonts w:ascii="Times New Roman" w:hAnsi="Times New Roman" w:eastAsia="宋体" w:cs="Times New Roman"/>
          <w:color w:val="000000" w:themeColor="text1"/>
          <w:kern w:val="0"/>
          <w:sz w:val="24"/>
          <w:lang w:bidi="ar"/>
          <w14:textFill>
            <w14:solidFill>
              <w14:schemeClr w14:val="tx1"/>
            </w14:solidFill>
          </w14:textFill>
        </w:rPr>
        <w:t>的范围内，说明温度对金吸附效率的影响不大，考虑到操作简便，本实验在室温条件下即可完成，</w:t>
      </w:r>
      <w:r>
        <w:rPr>
          <w:rFonts w:hint="eastAsia" w:ascii="Times New Roman" w:hAnsi="Times New Roman" w:eastAsia="宋体" w:cs="Times New Roman"/>
          <w:color w:val="000000" w:themeColor="text1"/>
          <w:kern w:val="0"/>
          <w:sz w:val="24"/>
          <w:lang w:bidi="ar"/>
          <w14:textFill>
            <w14:solidFill>
              <w14:schemeClr w14:val="tx1"/>
            </w14:solidFill>
          </w14:textFill>
        </w:rPr>
        <w:t>不必</w:t>
      </w:r>
      <w:r>
        <w:rPr>
          <w:rFonts w:ascii="Times New Roman" w:hAnsi="Times New Roman" w:eastAsia="宋体" w:cs="Times New Roman"/>
          <w:color w:val="000000" w:themeColor="text1"/>
          <w:kern w:val="0"/>
          <w:sz w:val="24"/>
          <w:lang w:bidi="ar"/>
          <w14:textFill>
            <w14:solidFill>
              <w14:schemeClr w14:val="tx1"/>
            </w14:solidFill>
          </w14:textFill>
        </w:rPr>
        <w:t>精确控制温度。</w:t>
      </w:r>
    </w:p>
    <w:p>
      <w:pPr>
        <w:tabs>
          <w:tab w:val="left" w:pos="636"/>
        </w:tabs>
        <w:spacing w:line="360" w:lineRule="auto"/>
        <w:rPr>
          <w:rFonts w:ascii="黑体" w:hAnsi="黑体" w:eastAsia="黑体" w:cs="黑体"/>
          <w:sz w:val="24"/>
        </w:rPr>
      </w:pPr>
      <w:r>
        <w:rPr>
          <w:rFonts w:hint="eastAsia" w:ascii="黑体" w:hAnsi="黑体" w:eastAsia="黑体" w:cs="黑体"/>
          <w:sz w:val="24"/>
        </w:rPr>
        <w:t>3.4 流速对离子交换树脂金吸附效率的影响</w:t>
      </w:r>
    </w:p>
    <w:p>
      <w:pPr>
        <w:spacing w:line="440" w:lineRule="exact"/>
        <w:ind w:firstLine="480" w:firstLineChars="200"/>
        <w:jc w:val="left"/>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流速是影响金吸附效率的一个很重要因素，在样品的消解溶液过柱后，通过聚四氟乙烯活塞的阀门来控制流速的大小，设置过柱后的流速分别为2 mL/min、4 mL/min、6 mL/min、8 mL/min和10 mL/min。取配制好的30瓶浓度为5.00 μg/mL的金离子标准溶液，并盛于50 mL容量瓶中。分为5组，每组6瓶，即每种流速下进行6次独立测试，完成金的吸附交换实验，收集过柱后的溶液，最后使用火焰原子吸收光谱仪测定过柱后的浓度。并计算平均值和吸附效率AE。同时绘制流速与金的吸附效率变化曲线图，详见图4。</w:t>
      </w:r>
    </w:p>
    <w:p>
      <w:pPr>
        <w:spacing w:line="440" w:lineRule="exact"/>
        <w:ind w:firstLine="420" w:firstLineChars="200"/>
        <w:jc w:val="left"/>
        <w:rPr>
          <w:rFonts w:ascii="Times New Roman" w:hAnsi="Times New Roman" w:cs="Times New Roman"/>
          <w:color w:val="000000" w:themeColor="text1"/>
          <w:sz w:val="24"/>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61312" behindDoc="0" locked="0" layoutInCell="1" allowOverlap="1">
            <wp:simplePos x="0" y="0"/>
            <wp:positionH relativeFrom="column">
              <wp:posOffset>378460</wp:posOffset>
            </wp:positionH>
            <wp:positionV relativeFrom="paragraph">
              <wp:posOffset>26670</wp:posOffset>
            </wp:positionV>
            <wp:extent cx="4572000" cy="2743200"/>
            <wp:effectExtent l="0" t="0" r="0" b="0"/>
            <wp:wrapTopAndBottom/>
            <wp:docPr id="3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0"/>
                    <pic:cNvPicPr>
                      <a:picLocks noChangeAspect="1"/>
                    </pic:cNvPicPr>
                  </pic:nvPicPr>
                  <pic:blipFill>
                    <a:blip r:embed="rId10"/>
                    <a:stretch>
                      <a:fillRect/>
                    </a:stretch>
                  </pic:blipFill>
                  <pic:spPr>
                    <a:xfrm>
                      <a:off x="0" y="0"/>
                      <a:ext cx="4572000" cy="2743200"/>
                    </a:xfrm>
                    <a:prstGeom prst="rect">
                      <a:avLst/>
                    </a:prstGeom>
                    <a:noFill/>
                    <a:ln>
                      <a:noFill/>
                    </a:ln>
                  </pic:spPr>
                </pic:pic>
              </a:graphicData>
            </a:graphic>
          </wp:anchor>
        </w:drawing>
      </w:r>
      <w:r>
        <w:rPr>
          <w:rFonts w:ascii="Times New Roman" w:hAnsi="Times New Roman" w:cs="Times New Roman"/>
          <w:color w:val="000000" w:themeColor="text1"/>
          <w:sz w:val="24"/>
          <w14:textFill>
            <w14:solidFill>
              <w14:schemeClr w14:val="tx1"/>
            </w14:solidFill>
          </w14:textFill>
        </w:rPr>
        <w:t xml:space="preserve">            </w:t>
      </w:r>
      <w:r>
        <w:rPr>
          <w:rFonts w:hint="eastAsia" w:ascii="黑体" w:hAnsi="黑体" w:eastAsia="黑体" w:cs="黑体"/>
          <w:sz w:val="24"/>
          <w:szCs w:val="24"/>
        </w:rPr>
        <w:t xml:space="preserve"> 图4 不同流速对金吸附效率的变化曲线</w:t>
      </w:r>
    </w:p>
    <w:p>
      <w:pPr>
        <w:spacing w:line="440" w:lineRule="exact"/>
        <w:ind w:firstLine="480" w:firstLineChars="200"/>
        <w:jc w:val="left"/>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从图中的趋势可以看出，随着流速的增大吸附效果降低，当流速为10 mL/min时，吸附效率仅为48.2%。而在低流速状态下，吸附效率较高，原因是流速过快，导致溶液中的络合金离子还来不及和交换基团发生反应，就受重力作用的影响流失了，造成吸附效率的降低，因此在实验过程中，尽量选择低流速，2 mL/min的流速比较合适，吸附效率可达98.4%</w:t>
      </w:r>
    </w:p>
    <w:p>
      <w:pPr>
        <w:spacing w:line="440" w:lineRule="exact"/>
        <w:ind w:firstLine="480" w:firstLineChars="200"/>
        <w:jc w:val="left"/>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另外值得一提的是，这里的流速并不是恒定的，受重力作用的影响，流速会越来越小，除非能够保障有恒定的流体从漏斗上方流入以提供一个恒定的压力。所以在这里研究的流速实际上是过柱后初始流速，如果在过柱时，用流量调节阀门控制初始流速设置在2 mL/min，后面随着时间的推移，流速只会逐渐减小，因此不会对结果造成影响。</w:t>
      </w:r>
    </w:p>
    <w:p>
      <w:pPr>
        <w:spacing w:line="440" w:lineRule="exact"/>
        <w:jc w:val="left"/>
        <w:rPr>
          <w:rFonts w:ascii="Times New Roman" w:hAnsi="Times New Roman" w:cs="Times New Roman" w:eastAsiaTheme="majorEastAsia"/>
          <w:bCs/>
          <w:color w:val="000000" w:themeColor="text1"/>
          <w:sz w:val="24"/>
          <w14:textFill>
            <w14:solidFill>
              <w14:schemeClr w14:val="tx1"/>
            </w14:solidFill>
          </w14:textFill>
        </w:rPr>
      </w:pPr>
    </w:p>
    <w:p>
      <w:pPr>
        <w:tabs>
          <w:tab w:val="left" w:pos="636"/>
        </w:tabs>
        <w:spacing w:line="360" w:lineRule="auto"/>
        <w:rPr>
          <w:rFonts w:ascii="黑体" w:hAnsi="黑体" w:eastAsia="黑体" w:cs="黑体"/>
          <w:sz w:val="24"/>
        </w:rPr>
      </w:pPr>
      <w:r>
        <w:rPr>
          <w:rFonts w:hint="eastAsia" w:ascii="黑体" w:hAnsi="黑体" w:eastAsia="黑体" w:cs="黑体"/>
          <w:sz w:val="24"/>
        </w:rPr>
        <w:t>3.5 称样量对检测结果的影响研究</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hint="eastAsia" w:ascii="Times New Roman" w:hAnsi="Times New Roman" w:cs="Times New Roman" w:eastAsiaTheme="majorEastAsia"/>
          <w:bCs/>
          <w:color w:val="000000" w:themeColor="text1"/>
          <w:sz w:val="24"/>
          <w14:textFill>
            <w14:solidFill>
              <w14:schemeClr w14:val="tx1"/>
            </w14:solidFill>
          </w14:textFill>
        </w:rPr>
        <w:t>将粗铜样品的称样量分别设为5 g、10 g、15 g和20 g，均精确至0.0001 g。其余按照样品的消解要求执行，观察消解之后的样品溶解程度，具体结果见图5。5 g、10 g、15 g和20 g的称样量下的消解状态分别对应图中的（a）、（b）、（c）、（d），从图中可以直观的看出，当称样量为5 g时，粗铜样品完全溶解，溶液澄清透明；当称样量为10 g时，有少许不溶物出现，溶液基本澄清透明；当称样量为15 g时，有明显不溶物出现，溶液部分澄清呈半透明；当称样量为20 g时，出现了大量不溶物，溶液不澄清不透明。因此，为保障样品充分溶解，5 g的称样量的溶解效果最好，虽然称样量选择低于5 g的条件时，同样会得到较好的溶解效果，但是会导致检出限的提高，不利于微量金含量样品的检测，因此选择5 g的称样量是适宜的。</w:t>
      </w:r>
    </w:p>
    <w:p>
      <w:pPr>
        <w:spacing w:line="360" w:lineRule="auto"/>
        <w:ind w:firstLine="480" w:firstLineChars="200"/>
        <w:jc w:val="center"/>
        <w:rPr>
          <w:rFonts w:hint="eastAsia" w:ascii="黑体" w:hAnsi="黑体" w:eastAsia="黑体" w:cs="黑体"/>
          <w:sz w:val="24"/>
          <w:szCs w:val="24"/>
        </w:rPr>
      </w:pPr>
      <w:r>
        <w:rPr>
          <w:rFonts w:hint="eastAsia" w:ascii="黑体" w:hAnsi="黑体" w:eastAsia="黑体" w:cs="黑体"/>
          <w:sz w:val="24"/>
          <w:szCs w:val="24"/>
        </w:rPr>
        <w:drawing>
          <wp:anchor distT="0" distB="0" distL="114300" distR="114300" simplePos="0" relativeHeight="251662336" behindDoc="0" locked="0" layoutInCell="1" allowOverlap="1">
            <wp:simplePos x="0" y="0"/>
            <wp:positionH relativeFrom="column">
              <wp:posOffset>537210</wp:posOffset>
            </wp:positionH>
            <wp:positionV relativeFrom="paragraph">
              <wp:posOffset>178435</wp:posOffset>
            </wp:positionV>
            <wp:extent cx="4610735" cy="1951355"/>
            <wp:effectExtent l="0" t="0" r="8890" b="1270"/>
            <wp:wrapTopAndBottom/>
            <wp:docPr id="11" name="图片 11" descr="消解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消解图"/>
                    <pic:cNvPicPr>
                      <a:picLocks noChangeAspect="1"/>
                    </pic:cNvPicPr>
                  </pic:nvPicPr>
                  <pic:blipFill>
                    <a:blip r:embed="rId11"/>
                    <a:stretch>
                      <a:fillRect/>
                    </a:stretch>
                  </pic:blipFill>
                  <pic:spPr>
                    <a:xfrm>
                      <a:off x="0" y="0"/>
                      <a:ext cx="4610735" cy="1951355"/>
                    </a:xfrm>
                    <a:prstGeom prst="rect">
                      <a:avLst/>
                    </a:prstGeom>
                  </pic:spPr>
                </pic:pic>
              </a:graphicData>
            </a:graphic>
          </wp:anchor>
        </w:drawing>
      </w:r>
      <w:r>
        <w:rPr>
          <w:rFonts w:hint="eastAsia" w:ascii="黑体" w:hAnsi="黑体" w:eastAsia="黑体" w:cs="黑体"/>
          <w:sz w:val="24"/>
          <w:szCs w:val="24"/>
        </w:rPr>
        <w:t>图5 不同称样量下的消解状态图</w:t>
      </w:r>
    </w:p>
    <w:p>
      <w:pPr>
        <w:tabs>
          <w:tab w:val="left" w:pos="636"/>
        </w:tabs>
        <w:spacing w:line="360" w:lineRule="auto"/>
        <w:rPr>
          <w:rFonts w:ascii="黑体" w:hAnsi="黑体" w:eastAsia="黑体" w:cs="黑体"/>
          <w:sz w:val="28"/>
          <w:szCs w:val="28"/>
        </w:rPr>
      </w:pPr>
    </w:p>
    <w:p>
      <w:pPr>
        <w:tabs>
          <w:tab w:val="left" w:pos="636"/>
        </w:tabs>
        <w:spacing w:line="360" w:lineRule="auto"/>
        <w:rPr>
          <w:rFonts w:ascii="黑体" w:hAnsi="黑体" w:eastAsia="黑体" w:cs="黑体"/>
          <w:sz w:val="24"/>
        </w:rPr>
      </w:pPr>
      <w:r>
        <w:rPr>
          <w:rFonts w:hint="eastAsia" w:ascii="黑体" w:hAnsi="黑体" w:eastAsia="黑体" w:cs="黑体"/>
          <w:sz w:val="24"/>
        </w:rPr>
        <w:t>3.6 王水加入量对检测结果的影响</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王水对样品的消解至关重要，王水是由浓硝酸和浓盐酸按照1：3的体积比配制，其反应方程式为：</w:t>
      </w:r>
    </w:p>
    <w:p>
      <w:pPr>
        <w:spacing w:line="440" w:lineRule="exact"/>
        <w:ind w:firstLine="480" w:firstLineChars="200"/>
        <w:jc w:val="center"/>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HNO</w:t>
      </w:r>
      <w:r>
        <w:rPr>
          <w:rFonts w:ascii="Times New Roman" w:hAnsi="Times New Roman" w:cs="Times New Roman" w:eastAsiaTheme="majorEastAsia"/>
          <w:bCs/>
          <w:color w:val="000000" w:themeColor="text1"/>
          <w:sz w:val="24"/>
          <w:vertAlign w:val="subscript"/>
          <w14:textFill>
            <w14:solidFill>
              <w14:schemeClr w14:val="tx1"/>
            </w14:solidFill>
          </w14:textFill>
        </w:rPr>
        <w:t>3</w:t>
      </w:r>
      <w:r>
        <w:rPr>
          <w:rFonts w:ascii="Times New Roman" w:hAnsi="Times New Roman" w:cs="Times New Roman" w:eastAsiaTheme="majorEastAsia"/>
          <w:bCs/>
          <w:color w:val="000000" w:themeColor="text1"/>
          <w:sz w:val="24"/>
          <w14:textFill>
            <w14:solidFill>
              <w14:schemeClr w14:val="tx1"/>
            </w14:solidFill>
          </w14:textFill>
        </w:rPr>
        <w:t>+3HCl=2H</w:t>
      </w:r>
      <w:r>
        <w:rPr>
          <w:rFonts w:ascii="Times New Roman" w:hAnsi="Times New Roman" w:cs="Times New Roman" w:eastAsiaTheme="majorEastAsia"/>
          <w:bCs/>
          <w:color w:val="000000" w:themeColor="text1"/>
          <w:sz w:val="24"/>
          <w:vertAlign w:val="subscript"/>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O+Cl</w:t>
      </w:r>
      <w:r>
        <w:rPr>
          <w:rFonts w:ascii="Times New Roman" w:hAnsi="Times New Roman" w:cs="Times New Roman" w:eastAsiaTheme="majorEastAsia"/>
          <w:bCs/>
          <w:color w:val="000000" w:themeColor="text1"/>
          <w:sz w:val="24"/>
          <w:vertAlign w:val="subscript"/>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+NOCl</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生成的氯化亚硝酰立即分解为氯和一氧化氮：</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 xml:space="preserve">                 </w:t>
      </w:r>
      <w:r>
        <w:rPr>
          <w:rFonts w:hint="eastAsia" w:ascii="Times New Roman" w:hAnsi="Times New Roman" w:cs="Times New Roman" w:eastAsiaTheme="majorEastAsia"/>
          <w:bCs/>
          <w:color w:val="000000" w:themeColor="text1"/>
          <w:sz w:val="24"/>
          <w14:textFill>
            <w14:solidFill>
              <w14:schemeClr w14:val="tx1"/>
            </w14:solidFill>
          </w14:textFill>
        </w:rPr>
        <w:t xml:space="preserve">       </w:t>
      </w:r>
      <w:r>
        <w:rPr>
          <w:rFonts w:ascii="Times New Roman" w:hAnsi="Times New Roman" w:cs="Times New Roman" w:eastAsiaTheme="majorEastAsia"/>
          <w:bCs/>
          <w:color w:val="000000" w:themeColor="text1"/>
          <w:sz w:val="24"/>
          <w14:textFill>
            <w14:solidFill>
              <w14:schemeClr w14:val="tx1"/>
            </w14:solidFill>
          </w14:textFill>
        </w:rPr>
        <w:t>2NOCl=2NO+Cl</w:t>
      </w:r>
      <w:r>
        <w:rPr>
          <w:rFonts w:ascii="Times New Roman" w:hAnsi="Times New Roman" w:cs="Times New Roman" w:eastAsiaTheme="majorEastAsia"/>
          <w:bCs/>
          <w:color w:val="000000" w:themeColor="text1"/>
          <w:sz w:val="24"/>
          <w:vertAlign w:val="subscript"/>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 xml:space="preserve">      </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王水的氧化能力极强是因为产生的新生态的氯气具有极强的氧化能力，让金失去电子被氧化，其反应为：</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 xml:space="preserve">               </w:t>
      </w:r>
      <w:r>
        <w:rPr>
          <w:rFonts w:hint="eastAsia" w:ascii="Times New Roman" w:hAnsi="Times New Roman" w:cs="Times New Roman" w:eastAsiaTheme="majorEastAsia"/>
          <w:bCs/>
          <w:color w:val="000000" w:themeColor="text1"/>
          <w:sz w:val="24"/>
          <w14:textFill>
            <w14:solidFill>
              <w14:schemeClr w14:val="tx1"/>
            </w14:solidFill>
          </w14:textFill>
        </w:rPr>
        <w:t xml:space="preserve">      </w:t>
      </w:r>
      <w:r>
        <w:rPr>
          <w:rFonts w:ascii="Times New Roman" w:hAnsi="Times New Roman" w:cs="Times New Roman" w:eastAsiaTheme="majorEastAsia"/>
          <w:bCs/>
          <w:color w:val="000000" w:themeColor="text1"/>
          <w:sz w:val="24"/>
          <w14:textFill>
            <w14:solidFill>
              <w14:schemeClr w14:val="tx1"/>
            </w14:solidFill>
          </w14:textFill>
        </w:rPr>
        <w:t>Au+Cl</w:t>
      </w:r>
      <w:r>
        <w:rPr>
          <w:rFonts w:ascii="Times New Roman" w:hAnsi="Times New Roman" w:cs="Times New Roman" w:eastAsiaTheme="majorEastAsia"/>
          <w:bCs/>
          <w:color w:val="000000" w:themeColor="text1"/>
          <w:sz w:val="24"/>
          <w:vertAlign w:val="subscript"/>
          <w14:textFill>
            <w14:solidFill>
              <w14:schemeClr w14:val="tx1"/>
            </w14:solidFill>
          </w14:textFill>
        </w:rPr>
        <w:t>2</w:t>
      </w:r>
      <w:r>
        <w:rPr>
          <w:rFonts w:ascii="Times New Roman" w:hAnsi="Times New Roman" w:cs="Times New Roman" w:eastAsiaTheme="majorEastAsia"/>
          <w:bCs/>
          <w:color w:val="000000" w:themeColor="text1"/>
          <w:sz w:val="24"/>
          <w14:textFill>
            <w14:solidFill>
              <w14:schemeClr w14:val="tx1"/>
            </w14:solidFill>
          </w14:textFill>
        </w:rPr>
        <w:t>+NOCl=AuCl</w:t>
      </w:r>
      <w:r>
        <w:rPr>
          <w:rFonts w:ascii="Times New Roman" w:hAnsi="Times New Roman" w:cs="Times New Roman" w:eastAsiaTheme="majorEastAsia"/>
          <w:bCs/>
          <w:color w:val="000000" w:themeColor="text1"/>
          <w:sz w:val="24"/>
          <w:vertAlign w:val="subscript"/>
          <w14:textFill>
            <w14:solidFill>
              <w14:schemeClr w14:val="tx1"/>
            </w14:solidFill>
          </w14:textFill>
        </w:rPr>
        <w:t>3</w:t>
      </w:r>
      <w:r>
        <w:rPr>
          <w:rFonts w:ascii="Times New Roman" w:hAnsi="Times New Roman" w:cs="Times New Roman" w:eastAsiaTheme="majorEastAsia"/>
          <w:bCs/>
          <w:color w:val="000000" w:themeColor="text1"/>
          <w:sz w:val="24"/>
          <w14:textFill>
            <w14:solidFill>
              <w14:schemeClr w14:val="tx1"/>
            </w14:solidFill>
          </w14:textFill>
        </w:rPr>
        <w:t xml:space="preserve">+NO↑    </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高浓度的氯离子与金离子能够生成稳定的氯金酸，其方程式为：</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 xml:space="preserve">                 </w:t>
      </w:r>
      <w:r>
        <w:rPr>
          <w:rFonts w:hint="eastAsia" w:ascii="Times New Roman" w:hAnsi="Times New Roman" w:cs="Times New Roman" w:eastAsiaTheme="majorEastAsia"/>
          <w:bCs/>
          <w:color w:val="000000" w:themeColor="text1"/>
          <w:sz w:val="24"/>
          <w14:textFill>
            <w14:solidFill>
              <w14:schemeClr w14:val="tx1"/>
            </w14:solidFill>
          </w14:textFill>
        </w:rPr>
        <w:t xml:space="preserve">      </w:t>
      </w:r>
      <w:r>
        <w:rPr>
          <w:rFonts w:ascii="Times New Roman" w:hAnsi="Times New Roman" w:cs="Times New Roman" w:eastAsiaTheme="majorEastAsia"/>
          <w:bCs/>
          <w:color w:val="000000" w:themeColor="text1"/>
          <w:sz w:val="24"/>
          <w14:textFill>
            <w14:solidFill>
              <w14:schemeClr w14:val="tx1"/>
            </w14:solidFill>
          </w14:textFill>
        </w:rPr>
        <w:t>AuCl</w:t>
      </w:r>
      <w:r>
        <w:rPr>
          <w:rFonts w:ascii="Times New Roman" w:hAnsi="Times New Roman" w:cs="Times New Roman" w:eastAsiaTheme="majorEastAsia"/>
          <w:bCs/>
          <w:color w:val="000000" w:themeColor="text1"/>
          <w:sz w:val="24"/>
          <w:vertAlign w:val="subscript"/>
          <w14:textFill>
            <w14:solidFill>
              <w14:schemeClr w14:val="tx1"/>
            </w14:solidFill>
          </w14:textFill>
        </w:rPr>
        <w:t>3</w:t>
      </w:r>
      <w:r>
        <w:rPr>
          <w:rFonts w:ascii="Times New Roman" w:hAnsi="Times New Roman" w:cs="Times New Roman" w:eastAsiaTheme="majorEastAsia"/>
          <w:bCs/>
          <w:color w:val="000000" w:themeColor="text1"/>
          <w:sz w:val="24"/>
          <w14:textFill>
            <w14:solidFill>
              <w14:schemeClr w14:val="tx1"/>
            </w14:solidFill>
          </w14:textFill>
        </w:rPr>
        <w:t>+HCl=H[AuCl</w:t>
      </w:r>
      <w:r>
        <w:rPr>
          <w:rFonts w:ascii="Times New Roman" w:hAnsi="Times New Roman" w:cs="Times New Roman" w:eastAsiaTheme="majorEastAsia"/>
          <w:bCs/>
          <w:color w:val="000000" w:themeColor="text1"/>
          <w:sz w:val="24"/>
          <w:vertAlign w:val="subscript"/>
          <w14:textFill>
            <w14:solidFill>
              <w14:schemeClr w14:val="tx1"/>
            </w14:solidFill>
          </w14:textFill>
        </w:rPr>
        <w:t>4</w:t>
      </w:r>
      <w:r>
        <w:rPr>
          <w:rFonts w:ascii="Times New Roman" w:hAnsi="Times New Roman" w:cs="Times New Roman" w:eastAsiaTheme="majorEastAsia"/>
          <w:bCs/>
          <w:color w:val="000000" w:themeColor="text1"/>
          <w:sz w:val="24"/>
          <w14:textFill>
            <w14:solidFill>
              <w14:schemeClr w14:val="tx1"/>
            </w14:solidFill>
          </w14:textFill>
        </w:rPr>
        <w:t xml:space="preserve">]                 </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在这个反应中，由于金的络合作用，从而加速了样品的分解，因此金能够很好的溶解在王水中。以2号粗铜样品（金含量为2.38 g/t）为研究对象，设置不同的王水加入量对检测结果的影响，共设置7组实验室，每组王水的加入量分别为40 mL、60 mL、80 mL、100 mL、120 mL、140 mL和160 mL，每组实验独立进行6次测试，以算术平均值为最终结果。据所测得的实验数据，绘制金含量随王水加入量的变化曲线，详见图</w:t>
      </w:r>
      <w:r>
        <w:rPr>
          <w:rFonts w:hint="eastAsia" w:ascii="Times New Roman" w:hAnsi="Times New Roman" w:cs="Times New Roman" w:eastAsiaTheme="majorEastAsia"/>
          <w:bCs/>
          <w:color w:val="000000" w:themeColor="text1"/>
          <w:sz w:val="24"/>
          <w14:textFill>
            <w14:solidFill>
              <w14:schemeClr w14:val="tx1"/>
            </w14:solidFill>
          </w14:textFill>
        </w:rPr>
        <w:t>6</w:t>
      </w:r>
      <w:r>
        <w:rPr>
          <w:rFonts w:ascii="Times New Roman" w:hAnsi="Times New Roman" w:cs="Times New Roman" w:eastAsiaTheme="majorEastAsia"/>
          <w:bCs/>
          <w:color w:val="000000" w:themeColor="text1"/>
          <w:sz w:val="24"/>
          <w14:textFill>
            <w14:solidFill>
              <w14:schemeClr w14:val="tx1"/>
            </w14:solidFill>
          </w14:textFill>
        </w:rPr>
        <w:t>。</w:t>
      </w:r>
    </w:p>
    <w:p>
      <w:pPr>
        <w:spacing w:line="360" w:lineRule="auto"/>
        <w:ind w:firstLine="480" w:firstLineChars="200"/>
        <w:jc w:val="center"/>
        <w:rPr>
          <w:rFonts w:hint="eastAsia" w:ascii="黑体" w:hAnsi="黑体" w:eastAsia="黑体" w:cs="黑体"/>
          <w:sz w:val="24"/>
          <w:szCs w:val="24"/>
        </w:rPr>
      </w:pPr>
      <w:r>
        <w:rPr>
          <w:rFonts w:hint="eastAsia" w:ascii="黑体" w:hAnsi="黑体" w:eastAsia="黑体" w:cs="黑体"/>
          <w:sz w:val="24"/>
          <w:szCs w:val="24"/>
        </w:rPr>
        <w:drawing>
          <wp:anchor distT="0" distB="0" distL="114300" distR="114300" simplePos="0" relativeHeight="251663360" behindDoc="0" locked="0" layoutInCell="1" allowOverlap="1">
            <wp:simplePos x="0" y="0"/>
            <wp:positionH relativeFrom="column">
              <wp:posOffset>392430</wp:posOffset>
            </wp:positionH>
            <wp:positionV relativeFrom="paragraph">
              <wp:posOffset>125730</wp:posOffset>
            </wp:positionV>
            <wp:extent cx="4574540" cy="2743200"/>
            <wp:effectExtent l="0" t="0" r="6985" b="0"/>
            <wp:wrapTopAndBottom/>
            <wp:docPr id="8"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黑体" w:hAnsi="黑体" w:eastAsia="黑体" w:cs="黑体"/>
          <w:sz w:val="24"/>
          <w:szCs w:val="24"/>
        </w:rPr>
        <w:t>图6金含量随王水加入体积变化曲线</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由上图不难看，当王水的加入量为40 mL和60 mL时，测得的结果都偏低，而在80 mL~160 mL的范围内，王水的加入量对结果几乎不造成影响。分析其原因是过量的王水，随着电热板的加热，逐步挥发减少，最终蒸至约10</w:t>
      </w:r>
      <w:r>
        <w:rPr>
          <w:rFonts w:hint="eastAsia" w:ascii="Times New Roman" w:hAnsi="Times New Roman" w:cs="Times New Roman" w:eastAsiaTheme="majorEastAsia"/>
          <w:bCs/>
          <w:color w:val="000000" w:themeColor="text1"/>
          <w:sz w:val="24"/>
          <w14:textFill>
            <w14:solidFill>
              <w14:schemeClr w14:val="tx1"/>
            </w14:solidFill>
          </w14:textFill>
        </w:rPr>
        <w:t xml:space="preserve"> </w:t>
      </w:r>
      <w:r>
        <w:rPr>
          <w:rFonts w:ascii="Times New Roman" w:hAnsi="Times New Roman" w:cs="Times New Roman" w:eastAsiaTheme="majorEastAsia"/>
          <w:bCs/>
          <w:color w:val="000000" w:themeColor="text1"/>
          <w:sz w:val="24"/>
          <w14:textFill>
            <w14:solidFill>
              <w14:schemeClr w14:val="tx1"/>
            </w14:solidFill>
          </w14:textFill>
        </w:rPr>
        <w:t>mL，至无棕色烟冒出，加入约50 mL稀盐酸（1+9）微热使盐类溶解，用稀盐酸（1+9）转移至100 mL容量瓶中，并定容至标线，其终点的状态是一致的，因此不会对检测结果造成影响，但是如果王水的加入量过少，就会影响到粗铜中的金溶于王水形成络阴金离子（AuCl</w:t>
      </w:r>
      <w:r>
        <w:rPr>
          <w:rFonts w:ascii="Times New Roman" w:hAnsi="Times New Roman" w:cs="Times New Roman" w:eastAsiaTheme="majorEastAsia"/>
          <w:bCs/>
          <w:color w:val="000000" w:themeColor="text1"/>
          <w:sz w:val="24"/>
          <w:vertAlign w:val="subscript"/>
          <w14:textFill>
            <w14:solidFill>
              <w14:schemeClr w14:val="tx1"/>
            </w14:solidFill>
          </w14:textFill>
        </w:rPr>
        <w:t>4</w:t>
      </w:r>
      <w:r>
        <w:rPr>
          <w:rFonts w:ascii="Times New Roman" w:hAnsi="Times New Roman" w:cs="Times New Roman" w:eastAsiaTheme="majorEastAsia"/>
          <w:bCs/>
          <w:color w:val="000000" w:themeColor="text1"/>
          <w:sz w:val="24"/>
          <w:vertAlign w:val="superscript"/>
          <w14:textFill>
            <w14:solidFill>
              <w14:schemeClr w14:val="tx1"/>
            </w14:solidFill>
          </w14:textFill>
        </w:rPr>
        <w:t>-</w:t>
      </w:r>
      <w:r>
        <w:rPr>
          <w:rFonts w:ascii="Times New Roman" w:hAnsi="Times New Roman" w:cs="Times New Roman" w:eastAsiaTheme="majorEastAsia"/>
          <w:bCs/>
          <w:color w:val="000000" w:themeColor="text1"/>
          <w:sz w:val="24"/>
          <w14:textFill>
            <w14:solidFill>
              <w14:schemeClr w14:val="tx1"/>
            </w14:solidFill>
          </w14:textFill>
        </w:rPr>
        <w:t>），只有在王水过量的情况下，才能够反应完全，因此在实验重要至少保障80 mL王水的加入量。</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p>
    <w:p>
      <w:pPr>
        <w:tabs>
          <w:tab w:val="left" w:pos="636"/>
        </w:tabs>
        <w:spacing w:line="360" w:lineRule="auto"/>
        <w:rPr>
          <w:rFonts w:ascii="黑体" w:hAnsi="黑体" w:eastAsia="黑体" w:cs="黑体"/>
          <w:sz w:val="24"/>
        </w:rPr>
      </w:pPr>
      <w:r>
        <w:rPr>
          <w:rFonts w:hint="eastAsia" w:ascii="黑体" w:hAnsi="黑体" w:eastAsia="黑体" w:cs="黑体"/>
          <w:sz w:val="24"/>
        </w:rPr>
        <w:t>3.7 检出限的测定</w:t>
      </w:r>
    </w:p>
    <w:p>
      <w:pPr>
        <w:spacing w:line="440" w:lineRule="exact"/>
        <w:ind w:firstLine="480" w:firstLineChars="200"/>
        <w:jc w:val="left"/>
        <w:rPr>
          <w:rFonts w:ascii="黑体" w:hAnsi="黑体" w:eastAsia="黑体" w:cs="黑体"/>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GB/T 27417-2017 《合格评定 化学分析方法确认和验证指南》中5.4.2.2要求，采用空白标准偏差法来评估检出限（LOD），即通过分析大量的样品空白或加入最低可接受浓度的样品空白来确定LOD，独立测试的次数应不少于10次（n≥10），则：LOD=样品空白平均值+3</w:t>
      </w:r>
      <w:r>
        <w:rPr>
          <w:rFonts w:hint="eastAsia" w:ascii="Times New Roman" w:hAnsi="Times New Roman" w:eastAsia="宋体" w:cs="Times New Roman"/>
          <w:i/>
          <w:iCs/>
          <w:color w:val="000000" w:themeColor="text1"/>
          <w:sz w:val="24"/>
          <w14:textFill>
            <w14:solidFill>
              <w14:schemeClr w14:val="tx1"/>
            </w14:solidFill>
          </w14:textFill>
        </w:rPr>
        <w:t>S</w:t>
      </w:r>
      <w:r>
        <w:rPr>
          <w:rFonts w:hint="eastAsia" w:ascii="Times New Roman" w:hAnsi="Times New Roman" w:eastAsia="宋体" w:cs="Times New Roman"/>
          <w:color w:val="000000" w:themeColor="text1"/>
          <w:sz w:val="24"/>
          <w14:textFill>
            <w14:solidFill>
              <w14:schemeClr w14:val="tx1"/>
            </w14:solidFill>
          </w14:textFill>
        </w:rPr>
        <w:t>，</w:t>
      </w:r>
      <w:r>
        <w:rPr>
          <w:rFonts w:ascii="Times New Roman" w:hAnsi="Times New Roman" w:eastAsia="宋体" w:cs="Times New Roman"/>
          <w:color w:val="000000" w:themeColor="text1"/>
          <w:sz w:val="24"/>
          <w14:textFill>
            <w14:solidFill>
              <w14:schemeClr w14:val="tx1"/>
            </w14:solidFill>
          </w14:textFill>
        </w:rPr>
        <w:t>其中：</w:t>
      </w:r>
      <w:r>
        <w:rPr>
          <w:rFonts w:hint="eastAsia" w:ascii="Times New Roman" w:hAnsi="Times New Roman" w:eastAsia="宋体" w:cs="Times New Roman"/>
          <w:i/>
          <w:iCs/>
          <w:color w:val="000000" w:themeColor="text1"/>
          <w:sz w:val="24"/>
          <w14:textFill>
            <w14:solidFill>
              <w14:schemeClr w14:val="tx1"/>
            </w14:solidFill>
          </w14:textFill>
        </w:rPr>
        <w:t>S</w:t>
      </w:r>
      <w:r>
        <w:rPr>
          <w:rFonts w:ascii="Times New Roman" w:hAnsi="Times New Roman" w:eastAsia="宋体" w:cs="Times New Roman"/>
          <w:color w:val="000000" w:themeColor="text1"/>
          <w:sz w:val="24"/>
          <w14:textFill>
            <w14:solidFill>
              <w14:schemeClr w14:val="tx1"/>
            </w14:solidFill>
          </w14:textFill>
        </w:rPr>
        <w:t>为样品空白值的标准偏差。对10个空白样品独立进行10次测试，表</w:t>
      </w:r>
      <w:r>
        <w:rPr>
          <w:rFonts w:hint="eastAsia" w:ascii="Times New Roman" w:hAnsi="Times New Roman" w:eastAsia="宋体" w:cs="Times New Roman"/>
          <w:color w:val="000000" w:themeColor="text1"/>
          <w:sz w:val="24"/>
          <w14:textFill>
            <w14:solidFill>
              <w14:schemeClr w14:val="tx1"/>
            </w14:solidFill>
          </w14:textFill>
        </w:rPr>
        <w:t>4</w:t>
      </w:r>
      <w:r>
        <w:rPr>
          <w:rFonts w:ascii="Times New Roman" w:hAnsi="Times New Roman" w:eastAsia="宋体" w:cs="Times New Roman"/>
          <w:color w:val="000000" w:themeColor="text1"/>
          <w:sz w:val="24"/>
          <w14:textFill>
            <w14:solidFill>
              <w14:schemeClr w14:val="tx1"/>
            </w14:solidFill>
          </w14:textFill>
        </w:rPr>
        <w:t xml:space="preserve">提供了详细的测试数据，检出限为0.051 </w:t>
      </w:r>
      <w:r>
        <w:rPr>
          <w:rFonts w:ascii="Times New Roman" w:hAnsi="Times New Roman" w:eastAsia="宋体" w:cs="Times New Roman"/>
          <w:color w:val="000000" w:themeColor="text1"/>
          <w:kern w:val="0"/>
          <w:sz w:val="24"/>
          <w:lang w:bidi="ar"/>
          <w14:textFill>
            <w14:solidFill>
              <w14:schemeClr w14:val="tx1"/>
            </w14:solidFill>
          </w14:textFill>
        </w:rPr>
        <w:t>μg/mL。</w:t>
      </w:r>
      <w:r>
        <w:rPr>
          <w:rFonts w:ascii="Times New Roman" w:hAnsi="Times New Roman" w:eastAsia="宋体" w:cs="Times New Roman"/>
          <w:color w:val="000000" w:themeColor="text1"/>
          <w:sz w:val="24"/>
          <w14:textFill>
            <w14:solidFill>
              <w14:schemeClr w14:val="tx1"/>
            </w14:solidFill>
          </w14:textFill>
        </w:rPr>
        <w:t>在本方法中，样品的称样量为5 g，定容体积为10 mL，</w:t>
      </w:r>
      <w:r>
        <w:rPr>
          <w:rFonts w:hint="eastAsia" w:ascii="Times New Roman" w:hAnsi="Times New Roman" w:eastAsia="宋体" w:cs="Times New Roman"/>
          <w:color w:val="000000" w:themeColor="text1"/>
          <w:sz w:val="24"/>
          <w14:textFill>
            <w14:solidFill>
              <w14:schemeClr w14:val="tx1"/>
            </w14:solidFill>
          </w14:textFill>
        </w:rPr>
        <w:t>根据公式计算，可求出本</w:t>
      </w:r>
      <w:r>
        <w:rPr>
          <w:rFonts w:ascii="Times New Roman" w:hAnsi="Times New Roman" w:eastAsia="宋体" w:cs="Times New Roman"/>
          <w:color w:val="000000" w:themeColor="text1"/>
          <w:sz w:val="24"/>
          <w14:textFill>
            <w14:solidFill>
              <w14:schemeClr w14:val="tx1"/>
            </w14:solidFill>
          </w14:textFill>
        </w:rPr>
        <w:t>方法检出限为0.2 g/t。</w:t>
      </w:r>
    </w:p>
    <w:p>
      <w:pPr>
        <w:spacing w:line="440" w:lineRule="exact"/>
        <w:ind w:firstLine="480" w:firstLineChars="200"/>
        <w:jc w:val="center"/>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480" w:firstLineChars="200"/>
        <w:jc w:val="center"/>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480" w:firstLineChars="200"/>
        <w:jc w:val="center"/>
        <w:rPr>
          <w:rFonts w:ascii="Times New Roman" w:hAnsi="Times New Roman" w:eastAsia="宋体" w:cs="Times New Roman"/>
          <w:color w:val="000000" w:themeColor="text1"/>
          <w:sz w:val="24"/>
          <w14:textFill>
            <w14:solidFill>
              <w14:schemeClr w14:val="tx1"/>
            </w14:solidFill>
          </w14:textFill>
        </w:rPr>
      </w:pPr>
    </w:p>
    <w:p>
      <w:pPr>
        <w:spacing w:line="360" w:lineRule="auto"/>
        <w:ind w:firstLine="480" w:firstLineChars="200"/>
        <w:jc w:val="center"/>
        <w:rPr>
          <w:rFonts w:hint="eastAsia" w:ascii="黑体" w:hAnsi="黑体" w:eastAsia="黑体" w:cs="黑体"/>
          <w:sz w:val="24"/>
          <w:szCs w:val="24"/>
        </w:rPr>
      </w:pPr>
      <w:r>
        <w:rPr>
          <w:rFonts w:hint="eastAsia" w:ascii="黑体" w:hAnsi="黑体" w:eastAsia="黑体" w:cs="黑体"/>
          <w:sz w:val="24"/>
          <w:szCs w:val="24"/>
        </w:rPr>
        <w:t>表4 检出限测定数据表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0"/>
        <w:gridCol w:w="6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0" w:type="dxa"/>
            <w:tcBorders>
              <w:top w:val="single" w:color="auto" w:sz="12" w:space="0"/>
              <w:left w:val="nil"/>
              <w:bottom w:val="single" w:color="auto" w:sz="6" w:space="0"/>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项目</w:t>
            </w:r>
          </w:p>
        </w:tc>
        <w:tc>
          <w:tcPr>
            <w:tcW w:w="6194" w:type="dxa"/>
            <w:tcBorders>
              <w:top w:val="single" w:color="auto" w:sz="12" w:space="0"/>
              <w:left w:val="nil"/>
              <w:bottom w:val="single" w:color="auto" w:sz="6" w:space="0"/>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测试数据（</w:t>
            </w:r>
            <w:r>
              <w:rPr>
                <w:rFonts w:ascii="Times New Roman" w:hAnsi="Times New Roman" w:eastAsia="宋体" w:cs="Times New Roman"/>
                <w:color w:val="000000" w:themeColor="text1"/>
                <w:kern w:val="0"/>
                <w:sz w:val="24"/>
                <w:lang w:bidi="ar"/>
                <w14:textFill>
                  <w14:solidFill>
                    <w14:schemeClr w14:val="tx1"/>
                  </w14:solidFill>
                </w14:textFill>
              </w:rPr>
              <w:t>μg/mL</w:t>
            </w:r>
            <w:r>
              <w:rPr>
                <w:rFonts w:ascii="Times New Roman" w:hAnsi="Times New Roman" w:eastAsia="宋体" w:cs="Times New Roman"/>
                <w:color w:val="000000" w:themeColor="text1"/>
                <w:sz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580" w:type="dxa"/>
            <w:tcBorders>
              <w:top w:val="single" w:color="auto" w:sz="6" w:space="0"/>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样品空白测定结果</w:t>
            </w:r>
          </w:p>
        </w:tc>
        <w:tc>
          <w:tcPr>
            <w:tcW w:w="6194" w:type="dxa"/>
            <w:tcBorders>
              <w:top w:val="single" w:color="auto" w:sz="6" w:space="0"/>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0.0118  0.0164  0.0095  -0.0044  0.0026</w:t>
            </w:r>
          </w:p>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0.0049  0.0302  0.0256   0.0302  0.0210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80"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样品空白平均值</w:t>
            </w:r>
          </w:p>
        </w:tc>
        <w:tc>
          <w:tcPr>
            <w:tcW w:w="6194"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0"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标准偏差</w:t>
            </w:r>
            <w:r>
              <w:rPr>
                <w:rFonts w:ascii="Times New Roman" w:hAnsi="Times New Roman" w:eastAsia="宋体" w:cs="Times New Roman"/>
                <w:i/>
                <w:iCs/>
                <w:color w:val="000000" w:themeColor="text1"/>
                <w:sz w:val="24"/>
                <w14:textFill>
                  <w14:solidFill>
                    <w14:schemeClr w14:val="tx1"/>
                  </w14:solidFill>
                </w14:textFill>
              </w:rPr>
              <w:t>s</w:t>
            </w:r>
          </w:p>
        </w:tc>
        <w:tc>
          <w:tcPr>
            <w:tcW w:w="6194"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0" w:type="dxa"/>
            <w:tcBorders>
              <w:top w:val="nil"/>
              <w:left w:val="nil"/>
              <w:bottom w:val="single" w:color="auto" w:sz="12" w:space="0"/>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检出限LOD</w:t>
            </w:r>
          </w:p>
        </w:tc>
        <w:tc>
          <w:tcPr>
            <w:tcW w:w="6194" w:type="dxa"/>
            <w:tcBorders>
              <w:top w:val="nil"/>
              <w:left w:val="nil"/>
              <w:bottom w:val="single" w:color="auto" w:sz="12" w:space="0"/>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0.051</w:t>
            </w:r>
          </w:p>
        </w:tc>
      </w:tr>
    </w:tbl>
    <w:p>
      <w:pPr>
        <w:tabs>
          <w:tab w:val="left" w:pos="636"/>
        </w:tabs>
        <w:spacing w:line="360" w:lineRule="auto"/>
        <w:rPr>
          <w:rFonts w:ascii="黑体" w:hAnsi="黑体" w:eastAsia="黑体" w:cs="黑体"/>
          <w:sz w:val="28"/>
          <w:szCs w:val="28"/>
        </w:rPr>
      </w:pPr>
    </w:p>
    <w:p>
      <w:pPr>
        <w:tabs>
          <w:tab w:val="left" w:pos="636"/>
        </w:tabs>
        <w:spacing w:line="360" w:lineRule="auto"/>
        <w:rPr>
          <w:rFonts w:ascii="黑体" w:hAnsi="黑体" w:eastAsia="黑体" w:cs="黑体"/>
          <w:sz w:val="24"/>
        </w:rPr>
      </w:pPr>
      <w:r>
        <w:rPr>
          <w:rFonts w:hint="eastAsia" w:ascii="黑体" w:hAnsi="黑体" w:eastAsia="黑体" w:cs="黑体"/>
          <w:sz w:val="24"/>
        </w:rPr>
        <w:t>3.8 精密度和回收率的测定</w:t>
      </w:r>
    </w:p>
    <w:p>
      <w:pPr>
        <w:spacing w:line="440" w:lineRule="exact"/>
        <w:ind w:firstLine="480" w:firstLineChars="200"/>
        <w:jc w:val="left"/>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选取3个已知金含量的粗铜样品（记为1号样品、2号样品和3号样品），其金含量分别为1.25 g/t、2.38 g/t及8.73 g/t。本研究设置了低</w:t>
      </w:r>
      <w:r>
        <w:rPr>
          <w:rFonts w:hint="eastAsia" w:ascii="Times New Roman" w:hAnsi="Times New Roman" w:eastAsia="宋体" w:cs="Times New Roman"/>
          <w:color w:val="000000" w:themeColor="text1"/>
          <w:sz w:val="24"/>
          <w14:textFill>
            <w14:solidFill>
              <w14:schemeClr w14:val="tx1"/>
            </w14:solidFill>
          </w14:textFill>
        </w:rPr>
        <w:t>、</w:t>
      </w:r>
      <w:r>
        <w:rPr>
          <w:rFonts w:ascii="Times New Roman" w:hAnsi="Times New Roman" w:eastAsia="宋体" w:cs="Times New Roman"/>
          <w:color w:val="000000" w:themeColor="text1"/>
          <w:sz w:val="24"/>
          <w14:textFill>
            <w14:solidFill>
              <w14:schemeClr w14:val="tx1"/>
            </w14:solidFill>
          </w14:textFill>
        </w:rPr>
        <w:t>中</w:t>
      </w:r>
      <w:r>
        <w:rPr>
          <w:rFonts w:hint="eastAsia" w:ascii="Times New Roman" w:hAnsi="Times New Roman" w:eastAsia="宋体" w:cs="Times New Roman"/>
          <w:color w:val="000000" w:themeColor="text1"/>
          <w:sz w:val="24"/>
          <w14:textFill>
            <w14:solidFill>
              <w14:schemeClr w14:val="tx1"/>
            </w14:solidFill>
          </w14:textFill>
        </w:rPr>
        <w:t>、</w:t>
      </w:r>
      <w:r>
        <w:rPr>
          <w:rFonts w:ascii="Times New Roman" w:hAnsi="Times New Roman" w:eastAsia="宋体" w:cs="Times New Roman"/>
          <w:color w:val="000000" w:themeColor="text1"/>
          <w:sz w:val="24"/>
          <w14:textFill>
            <w14:solidFill>
              <w14:schemeClr w14:val="tx1"/>
            </w14:solidFill>
          </w14:textFill>
        </w:rPr>
        <w:t>高3组加标水平，在上述样品中进行加标实验，加标量依次为1.50 g/t、5.00 g/t和10.0 g/t。按照4.2.2步骤对3组加标样品进行测试，每组独立测试6次，然后分别计算每组的回收率和精密度（RSD）数据</w:t>
      </w:r>
      <w:r>
        <w:rPr>
          <w:rFonts w:hint="eastAsia" w:ascii="Times New Roman" w:hAnsi="Times New Roman" w:eastAsia="宋体" w:cs="Times New Roman"/>
          <w:color w:val="000000" w:themeColor="text1"/>
          <w:sz w:val="24"/>
          <w14:textFill>
            <w14:solidFill>
              <w14:schemeClr w14:val="tx1"/>
            </w14:solidFill>
          </w14:textFill>
        </w:rPr>
        <w:t>。其中回收率R的测定公式为：</w:t>
      </w:r>
    </w:p>
    <w:p>
      <w:pPr>
        <w:spacing w:line="440" w:lineRule="exact"/>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 xml:space="preserve">                  回收率R=（C</w:t>
      </w:r>
      <w:r>
        <w:rPr>
          <w:rFonts w:hint="eastAsia" w:ascii="Times New Roman" w:hAnsi="Times New Roman" w:eastAsia="宋体" w:cs="Times New Roman"/>
          <w:color w:val="000000" w:themeColor="text1"/>
          <w:sz w:val="24"/>
          <w:vertAlign w:val="subscript"/>
          <w14:textFill>
            <w14:solidFill>
              <w14:schemeClr w14:val="tx1"/>
            </w14:solidFill>
          </w14:textFill>
        </w:rPr>
        <w:t>1</w:t>
      </w:r>
      <w:r>
        <w:rPr>
          <w:rFonts w:hint="eastAsia" w:ascii="Times New Roman" w:hAnsi="Times New Roman" w:eastAsia="宋体" w:cs="Times New Roman"/>
          <w:color w:val="000000" w:themeColor="text1"/>
          <w:sz w:val="24"/>
          <w14:textFill>
            <w14:solidFill>
              <w14:schemeClr w14:val="tx1"/>
            </w14:solidFill>
          </w14:textFill>
        </w:rPr>
        <w:t>-C</w:t>
      </w:r>
      <w:r>
        <w:rPr>
          <w:rFonts w:hint="eastAsia" w:ascii="Times New Roman" w:hAnsi="Times New Roman" w:eastAsia="宋体" w:cs="Times New Roman"/>
          <w:color w:val="000000" w:themeColor="text1"/>
          <w:sz w:val="24"/>
          <w:vertAlign w:val="subscript"/>
          <w14:textFill>
            <w14:solidFill>
              <w14:schemeClr w14:val="tx1"/>
            </w14:solidFill>
          </w14:textFill>
        </w:rPr>
        <w:t>2</w:t>
      </w:r>
      <w:r>
        <w:rPr>
          <w:rFonts w:hint="eastAsia" w:ascii="Times New Roman" w:hAnsi="Times New Roman" w:eastAsia="宋体" w:cs="Times New Roman"/>
          <w:color w:val="000000" w:themeColor="text1"/>
          <w:sz w:val="24"/>
          <w14:textFill>
            <w14:solidFill>
              <w14:schemeClr w14:val="tx1"/>
            </w14:solidFill>
          </w14:textFill>
        </w:rPr>
        <w:t>）/C</w:t>
      </w:r>
      <w:r>
        <w:rPr>
          <w:rFonts w:hint="eastAsia" w:ascii="Times New Roman" w:hAnsi="Times New Roman" w:eastAsia="宋体" w:cs="Times New Roman"/>
          <w:color w:val="000000" w:themeColor="text1"/>
          <w:sz w:val="24"/>
          <w:vertAlign w:val="subscript"/>
          <w14:textFill>
            <w14:solidFill>
              <w14:schemeClr w14:val="tx1"/>
            </w14:solidFill>
          </w14:textFill>
        </w:rPr>
        <w:t xml:space="preserve">3 </w:t>
      </w:r>
      <w:r>
        <w:rPr>
          <w:rFonts w:hint="eastAsia" w:ascii="Times New Roman" w:hAnsi="Times New Roman" w:eastAsia="宋体" w:cs="Times New Roman"/>
          <w:color w:val="000000" w:themeColor="text1"/>
          <w:sz w:val="24"/>
          <w14:textFill>
            <w14:solidFill>
              <w14:schemeClr w14:val="tx1"/>
            </w14:solidFill>
          </w14:textFill>
        </w:rPr>
        <w:t xml:space="preserve">           </w:t>
      </w:r>
    </w:p>
    <w:p>
      <w:pPr>
        <w:spacing w:line="440" w:lineRule="exact"/>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其中：</w:t>
      </w:r>
    </w:p>
    <w:p>
      <w:pPr>
        <w:spacing w:line="440" w:lineRule="exact"/>
        <w:ind w:firstLine="960" w:firstLineChars="4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C</w:t>
      </w:r>
      <w:r>
        <w:rPr>
          <w:rFonts w:hint="eastAsia" w:ascii="Times New Roman" w:hAnsi="Times New Roman" w:eastAsia="宋体" w:cs="Times New Roman"/>
          <w:color w:val="000000" w:themeColor="text1"/>
          <w:sz w:val="24"/>
          <w:vertAlign w:val="subscript"/>
          <w14:textFill>
            <w14:solidFill>
              <w14:schemeClr w14:val="tx1"/>
            </w14:solidFill>
          </w14:textFill>
        </w:rPr>
        <w:t>1</w:t>
      </w:r>
      <w:r>
        <w:rPr>
          <w:rFonts w:hint="eastAsia" w:ascii="Times New Roman" w:hAnsi="Times New Roman" w:eastAsia="宋体" w:cs="Times New Roman"/>
          <w:color w:val="000000" w:themeColor="text1"/>
          <w:sz w:val="24"/>
          <w14:textFill>
            <w14:solidFill>
              <w14:schemeClr w14:val="tx1"/>
            </w14:solidFill>
          </w14:textFill>
        </w:rPr>
        <w:t>为加标之后测定的浓度；</w:t>
      </w:r>
    </w:p>
    <w:p>
      <w:pPr>
        <w:spacing w:line="440" w:lineRule="exact"/>
        <w:ind w:firstLine="960" w:firstLineChars="4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C</w:t>
      </w:r>
      <w:r>
        <w:rPr>
          <w:rFonts w:hint="eastAsia" w:ascii="Times New Roman" w:hAnsi="Times New Roman" w:eastAsia="宋体" w:cs="Times New Roman"/>
          <w:color w:val="000000" w:themeColor="text1"/>
          <w:sz w:val="24"/>
          <w:vertAlign w:val="subscript"/>
          <w14:textFill>
            <w14:solidFill>
              <w14:schemeClr w14:val="tx1"/>
            </w14:solidFill>
          </w14:textFill>
        </w:rPr>
        <w:t>2</w:t>
      </w:r>
      <w:r>
        <w:rPr>
          <w:rFonts w:hint="eastAsia" w:ascii="Times New Roman" w:hAnsi="Times New Roman" w:eastAsia="宋体" w:cs="Times New Roman"/>
          <w:color w:val="000000" w:themeColor="text1"/>
          <w:sz w:val="24"/>
          <w14:textFill>
            <w14:solidFill>
              <w14:schemeClr w14:val="tx1"/>
            </w14:solidFill>
          </w14:textFill>
        </w:rPr>
        <w:t>为加标之前测定的浓度；</w:t>
      </w:r>
    </w:p>
    <w:p>
      <w:pPr>
        <w:spacing w:line="440" w:lineRule="exact"/>
        <w:ind w:firstLine="960" w:firstLineChars="4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C</w:t>
      </w:r>
      <w:r>
        <w:rPr>
          <w:rFonts w:hint="eastAsia" w:ascii="Times New Roman" w:hAnsi="Times New Roman" w:eastAsia="宋体" w:cs="Times New Roman"/>
          <w:color w:val="000000" w:themeColor="text1"/>
          <w:sz w:val="24"/>
          <w:vertAlign w:val="subscript"/>
          <w14:textFill>
            <w14:solidFill>
              <w14:schemeClr w14:val="tx1"/>
            </w14:solidFill>
          </w14:textFill>
        </w:rPr>
        <w:t>3</w:t>
      </w:r>
      <w:r>
        <w:rPr>
          <w:rFonts w:hint="eastAsia" w:ascii="Times New Roman" w:hAnsi="Times New Roman" w:eastAsia="宋体" w:cs="Times New Roman"/>
          <w:color w:val="000000" w:themeColor="text1"/>
          <w:sz w:val="24"/>
          <w14:textFill>
            <w14:solidFill>
              <w14:schemeClr w14:val="tx1"/>
            </w14:solidFill>
          </w14:textFill>
        </w:rPr>
        <w:t>加入目标物的理论浓度。</w:t>
      </w:r>
    </w:p>
    <w:p>
      <w:pPr>
        <w:spacing w:line="440" w:lineRule="exact"/>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精密度</w:t>
      </w:r>
      <w:r>
        <w:rPr>
          <w:rFonts w:ascii="Times New Roman" w:hAnsi="Times New Roman" w:eastAsia="宋体" w:cs="Times New Roman"/>
          <w:color w:val="000000" w:themeColor="text1"/>
          <w:sz w:val="24"/>
          <w14:textFill>
            <w14:solidFill>
              <w14:schemeClr w14:val="tx1"/>
            </w14:solidFill>
          </w14:textFill>
        </w:rPr>
        <w:t>（RSD）</w:t>
      </w:r>
      <w:r>
        <w:rPr>
          <w:rFonts w:hint="eastAsia" w:ascii="Times New Roman" w:hAnsi="Times New Roman" w:eastAsia="宋体" w:cs="Times New Roman"/>
          <w:color w:val="000000" w:themeColor="text1"/>
          <w:sz w:val="24"/>
          <w14:textFill>
            <w14:solidFill>
              <w14:schemeClr w14:val="tx1"/>
            </w14:solidFill>
          </w14:textFill>
        </w:rPr>
        <w:t>则按照6次独立测试数据的相对标准偏差进行计算。</w:t>
      </w:r>
    </w:p>
    <w:p>
      <w:pPr>
        <w:spacing w:line="440" w:lineRule="exact"/>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kern w:val="0"/>
          <w:sz w:val="24"/>
          <w:lang w:bidi="ar"/>
          <w14:textFill>
            <w14:solidFill>
              <w14:schemeClr w14:val="tx1"/>
            </w14:solidFill>
          </w14:textFill>
        </w:rPr>
        <w:t>精密度和回收率的</w:t>
      </w:r>
      <w:r>
        <w:rPr>
          <w:rFonts w:ascii="Times New Roman" w:hAnsi="Times New Roman" w:eastAsia="宋体" w:cs="Times New Roman"/>
          <w:color w:val="000000" w:themeColor="text1"/>
          <w:kern w:val="0"/>
          <w:sz w:val="24"/>
          <w:lang w:bidi="ar"/>
          <w14:textFill>
            <w14:solidFill>
              <w14:schemeClr w14:val="tx1"/>
            </w14:solidFill>
          </w14:textFill>
        </w:rPr>
        <w:t>测试结果见表</w:t>
      </w:r>
      <w:r>
        <w:rPr>
          <w:rFonts w:hint="eastAsia" w:ascii="Times New Roman" w:hAnsi="Times New Roman" w:eastAsia="宋体" w:cs="Times New Roman"/>
          <w:color w:val="000000" w:themeColor="text1"/>
          <w:kern w:val="0"/>
          <w:sz w:val="24"/>
          <w:lang w:val="en-US" w:eastAsia="zh-CN" w:bidi="ar"/>
          <w14:textFill>
            <w14:solidFill>
              <w14:schemeClr w14:val="tx1"/>
            </w14:solidFill>
          </w14:textFill>
        </w:rPr>
        <w:t>5</w:t>
      </w:r>
      <w:r>
        <w:rPr>
          <w:rFonts w:ascii="Times New Roman" w:hAnsi="Times New Roman" w:eastAsia="宋体" w:cs="Times New Roman"/>
          <w:color w:val="000000" w:themeColor="text1"/>
          <w:kern w:val="0"/>
          <w:sz w:val="24"/>
          <w:lang w:bidi="ar"/>
          <w14:textFill>
            <w14:solidFill>
              <w14:schemeClr w14:val="tx1"/>
            </w14:solidFill>
          </w14:textFill>
        </w:rPr>
        <w:t xml:space="preserve"> 。</w:t>
      </w:r>
      <w:r>
        <w:rPr>
          <w:rFonts w:ascii="Times New Roman" w:hAnsi="Times New Roman" w:eastAsia="宋体" w:cs="Times New Roman"/>
          <w:color w:val="000000" w:themeColor="text1"/>
          <w:sz w:val="24"/>
          <w14:textFill>
            <w14:solidFill>
              <w14:schemeClr w14:val="tx1"/>
            </w14:solidFill>
          </w14:textFill>
        </w:rPr>
        <w:t>三组加标样品的加标回收率在97.4％~109.3％的范围内，测定的精密度，即相对标准偏差在0.58％~2.84％的范围内，满足GB/T 27417-2017 《合格评定 化学分析方法确认和验证指南》中附录A及附录B对回收率和精密度的要求。</w:t>
      </w:r>
    </w:p>
    <w:p>
      <w:pPr>
        <w:spacing w:line="440" w:lineRule="exact"/>
        <w:ind w:firstLine="480" w:firstLineChars="200"/>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480" w:firstLineChars="200"/>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480" w:firstLineChars="200"/>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480" w:firstLineChars="200"/>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480" w:firstLineChars="200"/>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480" w:firstLineChars="200"/>
        <w:rPr>
          <w:rFonts w:ascii="Times New Roman" w:hAnsi="Times New Roman" w:eastAsia="宋体" w:cs="Times New Roman"/>
          <w:color w:val="000000" w:themeColor="text1"/>
          <w:sz w:val="24"/>
          <w14:textFill>
            <w14:solidFill>
              <w14:schemeClr w14:val="tx1"/>
            </w14:solidFill>
          </w14:textFill>
        </w:rPr>
      </w:pPr>
    </w:p>
    <w:p>
      <w:pPr>
        <w:spacing w:line="440" w:lineRule="exact"/>
        <w:ind w:firstLine="480" w:firstLineChars="200"/>
        <w:rPr>
          <w:rFonts w:ascii="Times New Roman" w:hAnsi="Times New Roman" w:eastAsia="宋体" w:cs="Times New Roman"/>
          <w:color w:val="000000" w:themeColor="text1"/>
          <w:sz w:val="24"/>
          <w14:textFill>
            <w14:solidFill>
              <w14:schemeClr w14:val="tx1"/>
            </w14:solidFill>
          </w14:textFill>
        </w:rPr>
      </w:pPr>
    </w:p>
    <w:p>
      <w:pPr>
        <w:spacing w:line="360" w:lineRule="auto"/>
        <w:ind w:firstLine="480" w:firstLineChars="200"/>
        <w:jc w:val="center"/>
        <w:rPr>
          <w:rFonts w:hint="eastAsia" w:ascii="黑体" w:hAnsi="黑体" w:eastAsia="黑体" w:cs="黑体"/>
          <w:sz w:val="24"/>
          <w:szCs w:val="24"/>
        </w:rPr>
      </w:pPr>
      <w:r>
        <w:rPr>
          <w:rFonts w:hint="eastAsia" w:ascii="黑体" w:hAnsi="黑体" w:eastAsia="黑体" w:cs="黑体"/>
          <w:sz w:val="24"/>
          <w:szCs w:val="24"/>
        </w:rPr>
        <w:t>表</w:t>
      </w:r>
      <w:r>
        <w:rPr>
          <w:rFonts w:hint="eastAsia" w:ascii="黑体" w:hAnsi="黑体" w:eastAsia="黑体" w:cs="黑体"/>
          <w:sz w:val="24"/>
          <w:szCs w:val="24"/>
          <w:lang w:val="en-US" w:eastAsia="zh-CN"/>
        </w:rPr>
        <w:t>5</w:t>
      </w:r>
      <w:r>
        <w:rPr>
          <w:rFonts w:hint="eastAsia" w:ascii="黑体" w:hAnsi="黑体" w:eastAsia="黑体" w:cs="黑体"/>
          <w:sz w:val="24"/>
          <w:szCs w:val="24"/>
        </w:rPr>
        <w:t xml:space="preserve"> 回收率和精密度测定数据表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5"/>
        <w:gridCol w:w="1745"/>
        <w:gridCol w:w="1745"/>
        <w:gridCol w:w="1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35" w:type="dxa"/>
            <w:tcBorders>
              <w:top w:val="single" w:color="auto" w:sz="12" w:space="0"/>
              <w:left w:val="nil"/>
              <w:bottom w:val="single" w:color="auto" w:sz="6" w:space="0"/>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项目</w:t>
            </w:r>
          </w:p>
        </w:tc>
        <w:tc>
          <w:tcPr>
            <w:tcW w:w="1745" w:type="dxa"/>
            <w:tcBorders>
              <w:top w:val="single" w:color="auto" w:sz="12" w:space="0"/>
              <w:left w:val="nil"/>
              <w:bottom w:val="single" w:color="auto" w:sz="6" w:space="0"/>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1号样品</w:t>
            </w:r>
          </w:p>
        </w:tc>
        <w:tc>
          <w:tcPr>
            <w:tcW w:w="1745" w:type="dxa"/>
            <w:tcBorders>
              <w:top w:val="single" w:color="auto" w:sz="12" w:space="0"/>
              <w:left w:val="nil"/>
              <w:bottom w:val="single" w:color="auto" w:sz="6" w:space="0"/>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2号样品</w:t>
            </w:r>
          </w:p>
        </w:tc>
        <w:tc>
          <w:tcPr>
            <w:tcW w:w="1746" w:type="dxa"/>
            <w:tcBorders>
              <w:top w:val="single" w:color="auto" w:sz="12" w:space="0"/>
              <w:left w:val="nil"/>
              <w:bottom w:val="single" w:color="auto" w:sz="6" w:space="0"/>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3号样品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5" w:type="dxa"/>
            <w:tcBorders>
              <w:top w:val="single" w:color="auto" w:sz="6" w:space="0"/>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样品</w:t>
            </w:r>
            <w:r>
              <w:rPr>
                <w:rFonts w:ascii="Times New Roman" w:hAnsi="Times New Roman" w:eastAsia="宋体" w:cs="Times New Roman"/>
                <w:color w:val="000000" w:themeColor="text1"/>
                <w:sz w:val="24"/>
                <w14:textFill>
                  <w14:solidFill>
                    <w14:schemeClr w14:val="tx1"/>
                  </w14:solidFill>
                </w14:textFill>
              </w:rPr>
              <w:t>金含量</w:t>
            </w:r>
            <w:r>
              <w:rPr>
                <w:rFonts w:hint="eastAsia" w:ascii="Times New Roman" w:hAnsi="Times New Roman" w:eastAsia="宋体" w:cs="Times New Roman"/>
                <w:color w:val="000000" w:themeColor="text1"/>
                <w:sz w:val="24"/>
                <w14:textFill>
                  <w14:solidFill>
                    <w14:schemeClr w14:val="tx1"/>
                  </w14:solidFill>
                </w14:textFill>
              </w:rPr>
              <w:t>C</w:t>
            </w:r>
            <w:r>
              <w:rPr>
                <w:rFonts w:hint="eastAsia" w:ascii="Times New Roman" w:hAnsi="Times New Roman" w:eastAsia="宋体" w:cs="Times New Roman"/>
                <w:color w:val="000000" w:themeColor="text1"/>
                <w:sz w:val="24"/>
                <w:vertAlign w:val="subscript"/>
                <w14:textFill>
                  <w14:solidFill>
                    <w14:schemeClr w14:val="tx1"/>
                  </w14:solidFill>
                </w14:textFill>
              </w:rPr>
              <w:t>2</w:t>
            </w:r>
            <w:r>
              <w:rPr>
                <w:rFonts w:ascii="Times New Roman" w:hAnsi="Times New Roman" w:eastAsia="宋体" w:cs="Times New Roman"/>
                <w:color w:val="000000" w:themeColor="text1"/>
                <w:sz w:val="24"/>
                <w14:textFill>
                  <w14:solidFill>
                    <w14:schemeClr w14:val="tx1"/>
                  </w14:solidFill>
                </w14:textFill>
              </w:rPr>
              <w:t>（g/t）</w:t>
            </w:r>
          </w:p>
        </w:tc>
        <w:tc>
          <w:tcPr>
            <w:tcW w:w="1745" w:type="dxa"/>
            <w:tcBorders>
              <w:top w:val="single" w:color="auto" w:sz="6" w:space="0"/>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1.25</w:t>
            </w:r>
          </w:p>
        </w:tc>
        <w:tc>
          <w:tcPr>
            <w:tcW w:w="1745" w:type="dxa"/>
            <w:tcBorders>
              <w:top w:val="single" w:color="auto" w:sz="6" w:space="0"/>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2.38</w:t>
            </w:r>
          </w:p>
        </w:tc>
        <w:tc>
          <w:tcPr>
            <w:tcW w:w="1746" w:type="dxa"/>
            <w:tcBorders>
              <w:top w:val="single" w:color="auto" w:sz="6" w:space="0"/>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加标量</w:t>
            </w:r>
            <w:r>
              <w:rPr>
                <w:rFonts w:hint="eastAsia" w:ascii="Times New Roman" w:hAnsi="Times New Roman" w:eastAsia="宋体" w:cs="Times New Roman"/>
                <w:color w:val="000000" w:themeColor="text1"/>
                <w:sz w:val="24"/>
                <w14:textFill>
                  <w14:solidFill>
                    <w14:schemeClr w14:val="tx1"/>
                  </w14:solidFill>
                </w14:textFill>
              </w:rPr>
              <w:t>C</w:t>
            </w:r>
            <w:r>
              <w:rPr>
                <w:rFonts w:hint="eastAsia" w:ascii="Times New Roman" w:hAnsi="Times New Roman" w:eastAsia="宋体" w:cs="Times New Roman"/>
                <w:color w:val="000000" w:themeColor="text1"/>
                <w:sz w:val="24"/>
                <w:vertAlign w:val="subscript"/>
                <w14:textFill>
                  <w14:solidFill>
                    <w14:schemeClr w14:val="tx1"/>
                  </w14:solidFill>
                </w14:textFill>
              </w:rPr>
              <w:t>3</w:t>
            </w:r>
            <w:r>
              <w:rPr>
                <w:rFonts w:ascii="Times New Roman" w:hAnsi="Times New Roman" w:eastAsia="宋体" w:cs="Times New Roman"/>
                <w:color w:val="000000" w:themeColor="text1"/>
                <w:sz w:val="24"/>
                <w14:textFill>
                  <w14:solidFill>
                    <w14:schemeClr w14:val="tx1"/>
                  </w14:solidFill>
                </w14:textFill>
              </w:rPr>
              <w:t>（g/t）</w:t>
            </w: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1.50</w:t>
            </w: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5.00</w:t>
            </w:r>
          </w:p>
        </w:tc>
        <w:tc>
          <w:tcPr>
            <w:tcW w:w="1746"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5" w:type="dxa"/>
            <w:vMerge w:val="restart"/>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加标后金含量测定结果（g/t）</w:t>
            </w: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2.88</w:t>
            </w: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7.21</w:t>
            </w:r>
          </w:p>
        </w:tc>
        <w:tc>
          <w:tcPr>
            <w:tcW w:w="1746"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18.63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5" w:type="dxa"/>
            <w:vMerge w:val="continue"/>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2.84</w:t>
            </w: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7.02</w:t>
            </w:r>
          </w:p>
        </w:tc>
        <w:tc>
          <w:tcPr>
            <w:tcW w:w="1746"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18.52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5" w:type="dxa"/>
            <w:vMerge w:val="continue"/>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3.02</w:t>
            </w: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7.33</w:t>
            </w:r>
          </w:p>
        </w:tc>
        <w:tc>
          <w:tcPr>
            <w:tcW w:w="1746"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18.69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5" w:type="dxa"/>
            <w:vMerge w:val="continue"/>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2.87</w:t>
            </w: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7.24</w:t>
            </w:r>
          </w:p>
        </w:tc>
        <w:tc>
          <w:tcPr>
            <w:tcW w:w="1746"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18.44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5" w:type="dxa"/>
            <w:vMerge w:val="continue"/>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2.93</w:t>
            </w: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7.28</w:t>
            </w:r>
          </w:p>
        </w:tc>
        <w:tc>
          <w:tcPr>
            <w:tcW w:w="1746"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18.72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5" w:type="dxa"/>
            <w:vMerge w:val="continue"/>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2.78</w:t>
            </w: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7.49</w:t>
            </w:r>
          </w:p>
        </w:tc>
        <w:tc>
          <w:tcPr>
            <w:tcW w:w="1746"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18.65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加标后金含量测定结果平均值</w:t>
            </w:r>
            <w:r>
              <w:rPr>
                <w:rFonts w:hint="eastAsia" w:ascii="Times New Roman" w:hAnsi="Times New Roman" w:eastAsia="宋体" w:cs="Times New Roman"/>
                <w:color w:val="000000" w:themeColor="text1"/>
                <w:sz w:val="24"/>
                <w14:textFill>
                  <w14:solidFill>
                    <w14:schemeClr w14:val="tx1"/>
                  </w14:solidFill>
                </w14:textFill>
              </w:rPr>
              <w:t>C</w:t>
            </w:r>
            <w:r>
              <w:rPr>
                <w:rFonts w:hint="eastAsia" w:ascii="Times New Roman" w:hAnsi="Times New Roman" w:eastAsia="宋体" w:cs="Times New Roman"/>
                <w:color w:val="000000" w:themeColor="text1"/>
                <w:sz w:val="24"/>
                <w:vertAlign w:val="subscript"/>
                <w14:textFill>
                  <w14:solidFill>
                    <w14:schemeClr w14:val="tx1"/>
                  </w14:solidFill>
                </w14:textFill>
              </w:rPr>
              <w:t>1</w:t>
            </w:r>
            <w:r>
              <w:rPr>
                <w:rFonts w:ascii="Times New Roman" w:hAnsi="Times New Roman" w:eastAsia="宋体" w:cs="Times New Roman"/>
                <w:color w:val="000000" w:themeColor="text1"/>
                <w:sz w:val="24"/>
                <w14:textFill>
                  <w14:solidFill>
                    <w14:schemeClr w14:val="tx1"/>
                  </w14:solidFill>
                </w14:textFill>
              </w:rPr>
              <w:t>（g/t）</w:t>
            </w: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2.89</w:t>
            </w: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7.25</w:t>
            </w:r>
          </w:p>
        </w:tc>
        <w:tc>
          <w:tcPr>
            <w:tcW w:w="1746"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18.60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回收率</w:t>
            </w:r>
            <w:r>
              <w:rPr>
                <w:rFonts w:hint="eastAsia" w:ascii="Times New Roman" w:hAnsi="Times New Roman" w:eastAsia="宋体" w:cs="Times New Roman"/>
                <w:color w:val="000000" w:themeColor="text1"/>
                <w:sz w:val="24"/>
                <w14:textFill>
                  <w14:solidFill>
                    <w14:schemeClr w14:val="tx1"/>
                  </w14:solidFill>
                </w14:textFill>
              </w:rPr>
              <w:t>R</w:t>
            </w:r>
            <w:r>
              <w:rPr>
                <w:rFonts w:ascii="Times New Roman" w:hAnsi="Times New Roman" w:eastAsia="宋体" w:cs="Times New Roman"/>
                <w:color w:val="000000" w:themeColor="text1"/>
                <w:sz w:val="24"/>
                <w14:textFill>
                  <w14:solidFill>
                    <w14:schemeClr w14:val="tx1"/>
                  </w14:solidFill>
                </w14:textFill>
              </w:rPr>
              <w:t>（%）</w:t>
            </w: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109.3</w:t>
            </w:r>
          </w:p>
        </w:tc>
        <w:tc>
          <w:tcPr>
            <w:tcW w:w="1745"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97.4</w:t>
            </w:r>
          </w:p>
        </w:tc>
        <w:tc>
          <w:tcPr>
            <w:tcW w:w="1746" w:type="dxa"/>
            <w:tcBorders>
              <w:top w:val="nil"/>
              <w:left w:val="nil"/>
              <w:bottom w:val="nil"/>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35" w:type="dxa"/>
            <w:tcBorders>
              <w:top w:val="nil"/>
              <w:left w:val="nil"/>
              <w:bottom w:val="single" w:color="auto" w:sz="12" w:space="0"/>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精密度RSD（%）</w:t>
            </w:r>
          </w:p>
        </w:tc>
        <w:tc>
          <w:tcPr>
            <w:tcW w:w="1745" w:type="dxa"/>
            <w:tcBorders>
              <w:top w:val="nil"/>
              <w:left w:val="nil"/>
              <w:bottom w:val="single" w:color="auto" w:sz="12" w:space="0"/>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2.84</w:t>
            </w:r>
          </w:p>
        </w:tc>
        <w:tc>
          <w:tcPr>
            <w:tcW w:w="1745" w:type="dxa"/>
            <w:tcBorders>
              <w:top w:val="nil"/>
              <w:left w:val="nil"/>
              <w:bottom w:val="single" w:color="auto" w:sz="12" w:space="0"/>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1.79</w:t>
            </w:r>
          </w:p>
        </w:tc>
        <w:tc>
          <w:tcPr>
            <w:tcW w:w="1746" w:type="dxa"/>
            <w:tcBorders>
              <w:top w:val="nil"/>
              <w:left w:val="nil"/>
              <w:bottom w:val="single" w:color="auto" w:sz="12" w:space="0"/>
              <w:right w:val="nil"/>
            </w:tcBorders>
            <w:vAlign w:val="center"/>
          </w:tcPr>
          <w:p>
            <w:pPr>
              <w:spacing w:line="440" w:lineRule="exact"/>
              <w:jc w:val="center"/>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color w:val="000000" w:themeColor="text1"/>
                <w:sz w:val="24"/>
                <w14:textFill>
                  <w14:solidFill>
                    <w14:schemeClr w14:val="tx1"/>
                  </w14:solidFill>
                </w14:textFill>
              </w:rPr>
              <w:t>0.58</w:t>
            </w:r>
          </w:p>
        </w:tc>
      </w:tr>
    </w:tbl>
    <w:p>
      <w:pPr>
        <w:spacing w:line="440" w:lineRule="exact"/>
        <w:ind w:firstLine="480" w:firstLineChars="200"/>
        <w:rPr>
          <w:rFonts w:ascii="Times New Roman" w:hAnsi="Times New Roman" w:eastAsia="宋体" w:cs="Times New Roman"/>
          <w:color w:val="000000" w:themeColor="text1"/>
          <w:sz w:val="24"/>
          <w14:textFill>
            <w14:solidFill>
              <w14:schemeClr w14:val="tx1"/>
            </w14:solidFill>
          </w14:textFill>
        </w:rPr>
      </w:pPr>
    </w:p>
    <w:p>
      <w:pPr>
        <w:tabs>
          <w:tab w:val="left" w:pos="636"/>
        </w:tabs>
        <w:spacing w:line="360" w:lineRule="auto"/>
        <w:rPr>
          <w:rFonts w:ascii="黑体" w:hAnsi="黑体" w:eastAsia="黑体" w:cs="黑体"/>
          <w:sz w:val="24"/>
        </w:rPr>
      </w:pPr>
      <w:r>
        <w:rPr>
          <w:rFonts w:hint="eastAsia" w:ascii="黑体" w:hAnsi="黑体" w:eastAsia="黑体" w:cs="黑体"/>
          <w:sz w:val="24"/>
        </w:rPr>
        <w:t>3.9 实验室间的协同验证</w:t>
      </w:r>
    </w:p>
    <w:p>
      <w:pPr>
        <w:tabs>
          <w:tab w:val="left" w:pos="636"/>
        </w:tabs>
        <w:spacing w:line="360" w:lineRule="auto"/>
        <w:rPr>
          <w:rFonts w:ascii="Times New Roman" w:hAnsi="Times New Roman" w:eastAsia="宋体" w:cs="Times New Roman"/>
          <w:sz w:val="24"/>
        </w:rPr>
      </w:pPr>
      <w:r>
        <w:rPr>
          <w:rFonts w:hint="eastAsia" w:ascii="黑体" w:hAnsi="黑体" w:eastAsia="黑体" w:cs="黑体"/>
          <w:sz w:val="24"/>
        </w:rPr>
        <w:t xml:space="preserve">  </w:t>
      </w:r>
      <w:r>
        <w:rPr>
          <w:rFonts w:hint="eastAsia" w:ascii="宋体" w:hAnsi="宋体" w:eastAsia="宋体" w:cs="宋体"/>
          <w:sz w:val="24"/>
        </w:rPr>
        <w:t xml:space="preserve"> </w:t>
      </w:r>
      <w:r>
        <w:rPr>
          <w:rFonts w:ascii="Times New Roman" w:hAnsi="Times New Roman" w:eastAsia="宋体" w:cs="Times New Roman"/>
          <w:sz w:val="24"/>
        </w:rPr>
        <w:t xml:space="preserve"> 为了验证本标准方法的适用性，选取了不同地区，具备相应设备和能力的实验室开展了协同验证。共选取了</w:t>
      </w:r>
      <w:r>
        <w:rPr>
          <w:rFonts w:hint="eastAsia" w:ascii="Times New Roman" w:hAnsi="Times New Roman" w:eastAsia="宋体" w:cs="Times New Roman"/>
          <w:sz w:val="24"/>
        </w:rPr>
        <w:t>6</w:t>
      </w:r>
      <w:r>
        <w:rPr>
          <w:rFonts w:ascii="Times New Roman" w:hAnsi="Times New Roman" w:eastAsia="宋体" w:cs="Times New Roman"/>
          <w:sz w:val="24"/>
        </w:rPr>
        <w:t>家实验室，分别为</w:t>
      </w:r>
      <w:r>
        <w:rPr>
          <w:rFonts w:hint="eastAsia" w:asciiTheme="majorEastAsia" w:hAnsiTheme="majorEastAsia" w:eastAsiaTheme="majorEastAsia" w:cstheme="majorEastAsia"/>
          <w:bCs/>
          <w:color w:val="000000" w:themeColor="text1"/>
          <w:sz w:val="24"/>
          <w14:textFill>
            <w14:solidFill>
              <w14:schemeClr w14:val="tx1"/>
            </w14:solidFill>
          </w14:textFill>
        </w:rPr>
        <w:t>武汉海关技术中心仙桃检测实验室（序号</w:t>
      </w:r>
      <w:r>
        <w:rPr>
          <w:rFonts w:hint="eastAsia" w:asciiTheme="majorEastAsia" w:hAnsiTheme="majorEastAsia" w:eastAsiaTheme="majorEastAsia" w:cstheme="majorEastAsia"/>
          <w:bCs/>
          <w:color w:val="000000" w:themeColor="text1"/>
          <w:sz w:val="24"/>
          <w:lang w:val="en-US" w:eastAsia="zh-CN"/>
          <w14:textFill>
            <w14:solidFill>
              <w14:schemeClr w14:val="tx1"/>
            </w14:solidFill>
          </w14:textFill>
        </w:rPr>
        <w:t>1</w:t>
      </w:r>
      <w:r>
        <w:rPr>
          <w:rFonts w:hint="eastAsia" w:asciiTheme="majorEastAsia" w:hAnsiTheme="majorEastAsia" w:eastAsiaTheme="majorEastAsia" w:cstheme="majorEastAsia"/>
          <w:bCs/>
          <w:color w:val="000000" w:themeColor="text1"/>
          <w:sz w:val="24"/>
          <w14:textFill>
            <w14:solidFill>
              <w14:schemeClr w14:val="tx1"/>
            </w14:solidFill>
          </w14:textFill>
        </w:rPr>
        <w:t>）</w:t>
      </w:r>
      <w:r>
        <w:rPr>
          <w:rFonts w:asciiTheme="majorEastAsia" w:hAnsiTheme="majorEastAsia" w:eastAsiaTheme="majorEastAsia" w:cstheme="majorEastAsia"/>
          <w:bCs/>
          <w:color w:val="000000" w:themeColor="text1"/>
          <w:sz w:val="24"/>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中检（深圳）环境服务有限公司（序号</w:t>
      </w:r>
      <w:r>
        <w:rPr>
          <w:rFonts w:hint="eastAsia" w:asciiTheme="majorEastAsia" w:hAnsiTheme="majorEastAsia" w:eastAsiaTheme="majorEastAsia" w:cstheme="majorEastAsia"/>
          <w:bCs/>
          <w:color w:val="000000" w:themeColor="text1"/>
          <w:sz w:val="24"/>
          <w:lang w:val="en-US" w:eastAsia="zh-CN"/>
          <w14:textFill>
            <w14:solidFill>
              <w14:schemeClr w14:val="tx1"/>
            </w14:solidFill>
          </w14:textFill>
        </w:rPr>
        <w:t>2</w:t>
      </w:r>
      <w:r>
        <w:rPr>
          <w:rFonts w:hint="eastAsia" w:asciiTheme="majorEastAsia" w:hAnsiTheme="majorEastAsia" w:eastAsiaTheme="majorEastAsia" w:cstheme="majorEastAsia"/>
          <w:bCs/>
          <w:color w:val="000000" w:themeColor="text1"/>
          <w:sz w:val="24"/>
          <w14:textFill>
            <w14:solidFill>
              <w14:schemeClr w14:val="tx1"/>
            </w14:solidFill>
          </w14:textFill>
        </w:rPr>
        <w:t>）</w:t>
      </w:r>
      <w:r>
        <w:rPr>
          <w:rFonts w:asciiTheme="majorEastAsia" w:hAnsiTheme="majorEastAsia" w:eastAsiaTheme="majorEastAsia" w:cstheme="majorEastAsia"/>
          <w:bCs/>
          <w:color w:val="000000" w:themeColor="text1"/>
          <w:sz w:val="24"/>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福建中检矿产品检验检测有限公司（序号</w:t>
      </w:r>
      <w:r>
        <w:rPr>
          <w:rFonts w:hint="eastAsia" w:asciiTheme="majorEastAsia" w:hAnsiTheme="majorEastAsia" w:eastAsiaTheme="majorEastAsia" w:cstheme="majorEastAsia"/>
          <w:bCs/>
          <w:color w:val="000000" w:themeColor="text1"/>
          <w:sz w:val="24"/>
          <w:lang w:val="en-US" w:eastAsia="zh-CN"/>
          <w14:textFill>
            <w14:solidFill>
              <w14:schemeClr w14:val="tx1"/>
            </w14:solidFill>
          </w14:textFill>
        </w:rPr>
        <w:t>3</w:t>
      </w:r>
      <w:r>
        <w:rPr>
          <w:rFonts w:hint="eastAsia" w:asciiTheme="majorEastAsia" w:hAnsiTheme="majorEastAsia" w:eastAsiaTheme="majorEastAsia" w:cstheme="majorEastAsia"/>
          <w:bCs/>
          <w:color w:val="000000" w:themeColor="text1"/>
          <w:sz w:val="24"/>
          <w14:textFill>
            <w14:solidFill>
              <w14:schemeClr w14:val="tx1"/>
            </w14:solidFill>
          </w14:textFill>
        </w:rPr>
        <w:t>）</w:t>
      </w:r>
      <w:r>
        <w:rPr>
          <w:rFonts w:asciiTheme="majorEastAsia" w:hAnsiTheme="majorEastAsia" w:eastAsiaTheme="majorEastAsia" w:cstheme="majorEastAsia"/>
          <w:bCs/>
          <w:color w:val="000000" w:themeColor="text1"/>
          <w:sz w:val="24"/>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湖北省纤维检验局（序号4）</w:t>
      </w:r>
      <w:r>
        <w:rPr>
          <w:rFonts w:asciiTheme="majorEastAsia" w:hAnsiTheme="majorEastAsia" w:eastAsiaTheme="majorEastAsia" w:cstheme="majorEastAsia"/>
          <w:bCs/>
          <w:color w:val="000000" w:themeColor="text1"/>
          <w:sz w:val="24"/>
          <w14:textFill>
            <w14:solidFill>
              <w14:schemeClr w14:val="tx1"/>
            </w14:solidFill>
          </w14:textFill>
        </w:rPr>
        <w:t>、</w:t>
      </w:r>
      <w:r>
        <w:rPr>
          <w:rFonts w:hint="eastAsia" w:asciiTheme="majorEastAsia" w:hAnsiTheme="majorEastAsia" w:eastAsiaTheme="majorEastAsia" w:cstheme="majorEastAsia"/>
          <w:bCs/>
          <w:color w:val="000000" w:themeColor="text1"/>
          <w:sz w:val="24"/>
          <w14:textFill>
            <w14:solidFill>
              <w14:schemeClr w14:val="tx1"/>
            </w14:solidFill>
          </w14:textFill>
        </w:rPr>
        <w:t>湖北科艾乐检测技术有限公司（序号5）、云南花卉技术培训推广中心分析检测中心（序号6）</w:t>
      </w:r>
      <w:r>
        <w:rPr>
          <w:rFonts w:ascii="Times New Roman" w:hAnsi="Times New Roman" w:eastAsia="宋体" w:cs="Times New Roman"/>
          <w:sz w:val="24"/>
        </w:rPr>
        <w:t>。各实验室详细方法验证数据见</w:t>
      </w:r>
      <w:r>
        <w:rPr>
          <w:rFonts w:hint="eastAsia" w:ascii="Times New Roman" w:hAnsi="Times New Roman" w:eastAsia="宋体" w:cs="Times New Roman"/>
          <w:sz w:val="24"/>
        </w:rPr>
        <w:t>实验室间协同验证报告</w:t>
      </w:r>
      <w:r>
        <w:rPr>
          <w:rFonts w:ascii="Times New Roman" w:hAnsi="Times New Roman" w:eastAsia="宋体" w:cs="Times New Roman"/>
          <w:sz w:val="24"/>
        </w:rPr>
        <w:t>。表</w:t>
      </w:r>
      <w:r>
        <w:rPr>
          <w:rFonts w:hint="eastAsia" w:ascii="Times New Roman" w:hAnsi="Times New Roman" w:eastAsia="宋体" w:cs="Times New Roman"/>
          <w:sz w:val="24"/>
          <w:lang w:val="en-US" w:eastAsia="zh-CN"/>
        </w:rPr>
        <w:t>6</w:t>
      </w:r>
      <w:r>
        <w:rPr>
          <w:rFonts w:ascii="Times New Roman" w:hAnsi="Times New Roman" w:eastAsia="宋体" w:cs="Times New Roman"/>
          <w:sz w:val="24"/>
        </w:rPr>
        <w:t>提供了每家实验室的汇总数据。</w:t>
      </w:r>
    </w:p>
    <w:p>
      <w:pPr>
        <w:spacing w:line="440" w:lineRule="exact"/>
        <w:ind w:firstLine="480" w:firstLineChars="200"/>
        <w:jc w:val="left"/>
        <w:rPr>
          <w:rFonts w:ascii="Times New Roman" w:hAnsi="Times New Roman" w:eastAsia="宋体" w:cs="Times New Roman"/>
          <w:sz w:val="24"/>
        </w:rPr>
      </w:pPr>
      <w:r>
        <w:rPr>
          <w:rFonts w:ascii="Times New Roman" w:hAnsi="Times New Roman" w:eastAsia="宋体" w:cs="Times New Roman"/>
          <w:sz w:val="24"/>
        </w:rPr>
        <w:t>从表</w:t>
      </w:r>
      <w:r>
        <w:rPr>
          <w:rFonts w:hint="eastAsia" w:ascii="Times New Roman" w:hAnsi="Times New Roman" w:eastAsia="宋体" w:cs="Times New Roman"/>
          <w:sz w:val="24"/>
          <w:lang w:val="en-US" w:eastAsia="zh-CN"/>
        </w:rPr>
        <w:t>6</w:t>
      </w:r>
      <w:r>
        <w:rPr>
          <w:rFonts w:ascii="Times New Roman" w:hAnsi="Times New Roman" w:eastAsia="宋体" w:cs="Times New Roman"/>
          <w:sz w:val="24"/>
        </w:rPr>
        <w:t>数据可得，</w:t>
      </w:r>
      <w:r>
        <w:rPr>
          <w:rFonts w:hint="eastAsia" w:ascii="Times New Roman" w:hAnsi="Times New Roman" w:eastAsia="宋体" w:cs="Times New Roman"/>
          <w:sz w:val="24"/>
        </w:rPr>
        <w:t>6</w:t>
      </w:r>
      <w:r>
        <w:rPr>
          <w:rFonts w:ascii="Times New Roman" w:hAnsi="Times New Roman" w:eastAsia="宋体" w:cs="Times New Roman"/>
          <w:sz w:val="24"/>
        </w:rPr>
        <w:t>家实验室所测得数据有较好的一致性，检出限范围在</w:t>
      </w:r>
      <w:r>
        <w:rPr>
          <w:rFonts w:hint="eastAsia" w:ascii="Times New Roman" w:hAnsi="Times New Roman" w:eastAsia="宋体" w:cs="Times New Roman"/>
          <w:sz w:val="24"/>
        </w:rPr>
        <w:t>0.046</w:t>
      </w:r>
      <w:r>
        <w:rPr>
          <w:rFonts w:ascii="Times New Roman" w:hAnsi="Times New Roman" w:eastAsia="宋体" w:cs="Times New Roman"/>
          <w:sz w:val="24"/>
        </w:rPr>
        <w:t xml:space="preserve"> g/t</w:t>
      </w:r>
      <w:r>
        <w:rPr>
          <w:rFonts w:hint="eastAsia" w:ascii="Times New Roman" w:hAnsi="Times New Roman" w:eastAsia="宋体" w:cs="Times New Roman"/>
          <w:sz w:val="24"/>
        </w:rPr>
        <w:t>~0.052</w:t>
      </w:r>
      <w:r>
        <w:rPr>
          <w:rFonts w:ascii="Times New Roman" w:hAnsi="Times New Roman" w:eastAsia="宋体" w:cs="Times New Roman"/>
          <w:sz w:val="24"/>
        </w:rPr>
        <w:t xml:space="preserve"> g/t</w:t>
      </w:r>
      <w:r>
        <w:rPr>
          <w:rFonts w:hint="eastAsia" w:ascii="Times New Roman" w:hAnsi="Times New Roman" w:eastAsia="宋体" w:cs="Times New Roman"/>
          <w:sz w:val="24"/>
        </w:rPr>
        <w:t>，精密度范围在0.19%~2.41%，回收率范围在91.3%~99.5%，以上数据均满足</w:t>
      </w:r>
      <w:r>
        <w:rPr>
          <w:rFonts w:ascii="Times New Roman" w:hAnsi="Times New Roman" w:eastAsia="宋体" w:cs="Times New Roman"/>
          <w:color w:val="000000" w:themeColor="text1"/>
          <w:sz w:val="24"/>
          <w14:textFill>
            <w14:solidFill>
              <w14:schemeClr w14:val="tx1"/>
            </w14:solidFill>
          </w14:textFill>
        </w:rPr>
        <w:t>GB/T 27417-2017 《合格评定 化学分析方法确认和验证指南》中附录A及附录B对回收率和精密度的要求。</w:t>
      </w:r>
      <w:r>
        <w:rPr>
          <w:rFonts w:hint="eastAsia" w:ascii="Times New Roman" w:hAnsi="Times New Roman" w:eastAsia="宋体" w:cs="Times New Roman"/>
          <w:color w:val="000000" w:themeColor="text1"/>
          <w:sz w:val="24"/>
          <w14:textFill>
            <w14:solidFill>
              <w14:schemeClr w14:val="tx1"/>
            </w14:solidFill>
          </w14:textFill>
        </w:rPr>
        <w:t>证明本标准所述方法具有较好的一致性和适用性，能够满足</w:t>
      </w:r>
      <w:r>
        <w:rPr>
          <w:rFonts w:hint="eastAsia" w:ascii="Times New Roman" w:hAnsi="Times New Roman" w:eastAsia="宋体" w:cs="Times New Roman"/>
          <w:color w:val="000000" w:themeColor="text1"/>
          <w:sz w:val="24"/>
          <w:lang w:val="en-US" w:eastAsia="zh-CN"/>
          <w14:textFill>
            <w14:solidFill>
              <w14:schemeClr w14:val="tx1"/>
            </w14:solidFill>
          </w14:textFill>
        </w:rPr>
        <w:t>粗铜</w:t>
      </w:r>
      <w:r>
        <w:rPr>
          <w:rFonts w:hint="eastAsia" w:ascii="Times New Roman" w:hAnsi="Times New Roman" w:eastAsia="宋体" w:cs="Times New Roman"/>
          <w:color w:val="000000" w:themeColor="text1"/>
          <w:sz w:val="24"/>
          <w14:textFill>
            <w14:solidFill>
              <w14:schemeClr w14:val="tx1"/>
            </w14:solidFill>
          </w14:textFill>
        </w:rPr>
        <w:t>中</w:t>
      </w:r>
      <w:r>
        <w:rPr>
          <w:rFonts w:hint="eastAsia" w:ascii="Times New Roman" w:hAnsi="Times New Roman" w:eastAsia="宋体" w:cs="Times New Roman"/>
          <w:color w:val="000000" w:themeColor="text1"/>
          <w:sz w:val="24"/>
          <w:lang w:val="en-US" w:eastAsia="zh-CN"/>
          <w14:textFill>
            <w14:solidFill>
              <w14:schemeClr w14:val="tx1"/>
            </w14:solidFill>
          </w14:textFill>
        </w:rPr>
        <w:t>金</w:t>
      </w:r>
      <w:r>
        <w:rPr>
          <w:rFonts w:hint="eastAsia" w:ascii="Times New Roman" w:hAnsi="Times New Roman" w:eastAsia="宋体" w:cs="Times New Roman"/>
          <w:color w:val="000000" w:themeColor="text1"/>
          <w:sz w:val="24"/>
          <w14:textFill>
            <w14:solidFill>
              <w14:schemeClr w14:val="tx1"/>
            </w14:solidFill>
          </w14:textFill>
        </w:rPr>
        <w:t>的检测。</w:t>
      </w:r>
    </w:p>
    <w:p>
      <w:pPr>
        <w:tabs>
          <w:tab w:val="left" w:pos="636"/>
        </w:tabs>
        <w:spacing w:line="360" w:lineRule="auto"/>
        <w:jc w:val="center"/>
        <w:rPr>
          <w:rFonts w:hint="eastAsia" w:ascii="宋体" w:hAnsi="宋体" w:eastAsia="宋体" w:cs="宋体"/>
          <w:sz w:val="24"/>
        </w:rPr>
      </w:pPr>
    </w:p>
    <w:p>
      <w:pPr>
        <w:tabs>
          <w:tab w:val="left" w:pos="636"/>
        </w:tabs>
        <w:spacing w:line="360" w:lineRule="auto"/>
        <w:jc w:val="center"/>
        <w:rPr>
          <w:rFonts w:hint="eastAsia" w:ascii="宋体" w:hAnsi="宋体" w:eastAsia="宋体" w:cs="宋体"/>
          <w:sz w:val="24"/>
        </w:rPr>
      </w:pPr>
    </w:p>
    <w:p>
      <w:pPr>
        <w:spacing w:line="360" w:lineRule="auto"/>
        <w:ind w:firstLine="480" w:firstLineChars="200"/>
        <w:jc w:val="center"/>
        <w:rPr>
          <w:rFonts w:hint="eastAsia" w:ascii="黑体" w:hAnsi="黑体" w:eastAsia="黑体" w:cs="黑体"/>
          <w:sz w:val="24"/>
          <w:szCs w:val="24"/>
        </w:rPr>
      </w:pPr>
      <w:r>
        <w:rPr>
          <w:rFonts w:hint="eastAsia" w:ascii="黑体" w:hAnsi="黑体" w:eastAsia="黑体" w:cs="黑体"/>
          <w:sz w:val="24"/>
          <w:szCs w:val="24"/>
        </w:rPr>
        <w:t>表</w:t>
      </w:r>
      <w:r>
        <w:rPr>
          <w:rFonts w:hint="eastAsia" w:ascii="黑体" w:hAnsi="黑体" w:eastAsia="黑体" w:cs="黑体"/>
          <w:sz w:val="24"/>
          <w:szCs w:val="24"/>
          <w:lang w:val="en-US" w:eastAsia="zh-CN"/>
        </w:rPr>
        <w:t>6</w:t>
      </w:r>
      <w:r>
        <w:rPr>
          <w:rFonts w:hint="eastAsia" w:ascii="黑体" w:hAnsi="黑体" w:eastAsia="黑体" w:cs="黑体"/>
          <w:sz w:val="24"/>
          <w:szCs w:val="24"/>
        </w:rPr>
        <w:t xml:space="preserve"> 实验室间的协同验证数据汇总表</w:t>
      </w:r>
    </w:p>
    <w:tbl>
      <w:tblPr>
        <w:tblStyle w:val="7"/>
        <w:tblW w:w="0" w:type="auto"/>
        <w:tblInd w:w="0"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38"/>
        <w:gridCol w:w="1110"/>
        <w:gridCol w:w="1110"/>
        <w:gridCol w:w="1110"/>
        <w:gridCol w:w="1110"/>
        <w:gridCol w:w="1110"/>
        <w:gridCol w:w="1114"/>
        <w:gridCol w:w="1114"/>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738" w:type="dxa"/>
            <w:vMerge w:val="restart"/>
            <w:vAlign w:val="center"/>
          </w:tcPr>
          <w:p>
            <w:pPr>
              <w:tabs>
                <w:tab w:val="left" w:pos="636"/>
              </w:tabs>
              <w:jc w:val="center"/>
              <w:rPr>
                <w:rFonts w:ascii="Times New Roman" w:hAnsi="Times New Roman" w:eastAsia="宋体" w:cs="Times New Roman"/>
                <w:sz w:val="24"/>
              </w:rPr>
            </w:pPr>
            <w:r>
              <w:rPr>
                <w:rFonts w:hint="eastAsia" w:ascii="Times New Roman" w:hAnsi="Times New Roman" w:eastAsia="宋体" w:cs="Times New Roman"/>
                <w:sz w:val="24"/>
              </w:rPr>
              <w:t>序号</w:t>
            </w:r>
          </w:p>
        </w:tc>
        <w:tc>
          <w:tcPr>
            <w:tcW w:w="1110" w:type="dxa"/>
            <w:vMerge w:val="restart"/>
            <w:vAlign w:val="center"/>
          </w:tcPr>
          <w:p>
            <w:pPr>
              <w:tabs>
                <w:tab w:val="left" w:pos="636"/>
              </w:tabs>
              <w:jc w:val="center"/>
              <w:rPr>
                <w:rFonts w:ascii="Times New Roman" w:hAnsi="Times New Roman" w:eastAsia="宋体" w:cs="Times New Roman"/>
                <w:sz w:val="24"/>
              </w:rPr>
            </w:pPr>
            <w:r>
              <w:rPr>
                <w:rFonts w:hint="eastAsia" w:ascii="Times New Roman" w:hAnsi="Times New Roman" w:eastAsia="宋体" w:cs="Times New Roman"/>
                <w:sz w:val="24"/>
              </w:rPr>
              <w:t>检出限</w:t>
            </w:r>
          </w:p>
          <w:p>
            <w:pPr>
              <w:tabs>
                <w:tab w:val="left" w:pos="636"/>
              </w:tabs>
              <w:jc w:val="center"/>
              <w:rPr>
                <w:rFonts w:ascii="Times New Roman" w:hAnsi="Times New Roman" w:eastAsia="宋体" w:cs="Times New Roman"/>
                <w:sz w:val="24"/>
              </w:rPr>
            </w:pPr>
            <w:r>
              <w:rPr>
                <w:rFonts w:hint="eastAsia" w:ascii="Times New Roman" w:hAnsi="Times New Roman" w:eastAsia="宋体" w:cs="Times New Roman"/>
                <w:sz w:val="24"/>
              </w:rPr>
              <w:t>g/t</w:t>
            </w:r>
          </w:p>
        </w:tc>
        <w:tc>
          <w:tcPr>
            <w:tcW w:w="3330" w:type="dxa"/>
            <w:gridSpan w:val="3"/>
            <w:vAlign w:val="center"/>
          </w:tcPr>
          <w:p>
            <w:pPr>
              <w:tabs>
                <w:tab w:val="left" w:pos="636"/>
              </w:tabs>
              <w:jc w:val="center"/>
              <w:rPr>
                <w:rFonts w:ascii="Times New Roman" w:hAnsi="Times New Roman" w:eastAsia="宋体" w:cs="Times New Roman"/>
                <w:sz w:val="24"/>
              </w:rPr>
            </w:pPr>
            <w:r>
              <w:rPr>
                <w:rFonts w:hint="eastAsia" w:ascii="Times New Roman" w:hAnsi="Times New Roman" w:eastAsia="宋体" w:cs="Times New Roman"/>
                <w:sz w:val="24"/>
              </w:rPr>
              <w:t>精密度%，n=6</w:t>
            </w:r>
          </w:p>
        </w:tc>
        <w:tc>
          <w:tcPr>
            <w:tcW w:w="3338" w:type="dxa"/>
            <w:gridSpan w:val="3"/>
            <w:vAlign w:val="center"/>
          </w:tcPr>
          <w:p>
            <w:pPr>
              <w:tabs>
                <w:tab w:val="left" w:pos="636"/>
              </w:tabs>
              <w:jc w:val="center"/>
              <w:rPr>
                <w:rFonts w:ascii="Times New Roman" w:hAnsi="Times New Roman" w:eastAsia="宋体" w:cs="Times New Roman"/>
                <w:sz w:val="24"/>
              </w:rPr>
            </w:pPr>
            <w:r>
              <w:rPr>
                <w:rFonts w:hint="eastAsia" w:ascii="Times New Roman" w:hAnsi="Times New Roman" w:eastAsia="宋体" w:cs="Times New Roman"/>
                <w:sz w:val="24"/>
              </w:rPr>
              <w:t>回收率%，n=6</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738" w:type="dxa"/>
            <w:vMerge w:val="continue"/>
            <w:tcBorders>
              <w:bottom w:val="single" w:color="000000" w:sz="6" w:space="0"/>
            </w:tcBorders>
            <w:vAlign w:val="center"/>
          </w:tcPr>
          <w:p>
            <w:pPr>
              <w:tabs>
                <w:tab w:val="left" w:pos="636"/>
              </w:tabs>
              <w:jc w:val="center"/>
              <w:rPr>
                <w:rFonts w:ascii="Times New Roman" w:hAnsi="Times New Roman" w:eastAsia="宋体" w:cs="Times New Roman"/>
                <w:sz w:val="24"/>
              </w:rPr>
            </w:pPr>
          </w:p>
        </w:tc>
        <w:tc>
          <w:tcPr>
            <w:tcW w:w="1110" w:type="dxa"/>
            <w:vMerge w:val="continue"/>
            <w:tcBorders>
              <w:bottom w:val="single" w:color="000000" w:sz="6" w:space="0"/>
            </w:tcBorders>
            <w:vAlign w:val="center"/>
          </w:tcPr>
          <w:p>
            <w:pPr>
              <w:tabs>
                <w:tab w:val="left" w:pos="636"/>
              </w:tabs>
              <w:jc w:val="center"/>
              <w:rPr>
                <w:rFonts w:ascii="Times New Roman" w:hAnsi="Times New Roman" w:eastAsia="宋体" w:cs="Times New Roman"/>
                <w:sz w:val="24"/>
              </w:rPr>
            </w:pPr>
          </w:p>
        </w:tc>
        <w:tc>
          <w:tcPr>
            <w:tcW w:w="1110" w:type="dxa"/>
            <w:tcBorders>
              <w:bottom w:val="single" w:color="000000" w:sz="6" w:space="0"/>
            </w:tcBorders>
            <w:vAlign w:val="center"/>
          </w:tcPr>
          <w:p>
            <w:pPr>
              <w:tabs>
                <w:tab w:val="left" w:pos="636"/>
              </w:tabs>
              <w:jc w:val="center"/>
              <w:rPr>
                <w:rFonts w:ascii="Times New Roman" w:hAnsi="Times New Roman" w:eastAsia="宋体" w:cs="Times New Roman"/>
                <w:sz w:val="24"/>
              </w:rPr>
            </w:pPr>
            <w:r>
              <w:rPr>
                <w:rFonts w:hint="eastAsia" w:ascii="Times New Roman" w:hAnsi="Times New Roman" w:eastAsia="宋体" w:cs="Times New Roman"/>
                <w:sz w:val="24"/>
              </w:rPr>
              <w:t>低水平</w:t>
            </w:r>
          </w:p>
        </w:tc>
        <w:tc>
          <w:tcPr>
            <w:tcW w:w="1110" w:type="dxa"/>
            <w:tcBorders>
              <w:bottom w:val="single" w:color="000000" w:sz="6" w:space="0"/>
            </w:tcBorders>
            <w:vAlign w:val="center"/>
          </w:tcPr>
          <w:p>
            <w:pPr>
              <w:tabs>
                <w:tab w:val="left" w:pos="636"/>
              </w:tabs>
              <w:jc w:val="center"/>
              <w:rPr>
                <w:rFonts w:ascii="Times New Roman" w:hAnsi="Times New Roman" w:eastAsia="宋体" w:cs="Times New Roman"/>
                <w:sz w:val="24"/>
              </w:rPr>
            </w:pPr>
            <w:r>
              <w:rPr>
                <w:rFonts w:hint="eastAsia" w:ascii="Times New Roman" w:hAnsi="Times New Roman" w:eastAsia="宋体" w:cs="Times New Roman"/>
                <w:sz w:val="24"/>
              </w:rPr>
              <w:t>中水平</w:t>
            </w:r>
          </w:p>
        </w:tc>
        <w:tc>
          <w:tcPr>
            <w:tcW w:w="1110" w:type="dxa"/>
            <w:tcBorders>
              <w:bottom w:val="single" w:color="000000" w:sz="6" w:space="0"/>
            </w:tcBorders>
            <w:vAlign w:val="center"/>
          </w:tcPr>
          <w:p>
            <w:pPr>
              <w:tabs>
                <w:tab w:val="left" w:pos="636"/>
              </w:tabs>
              <w:jc w:val="center"/>
              <w:rPr>
                <w:rFonts w:ascii="Times New Roman" w:hAnsi="Times New Roman" w:eastAsia="宋体" w:cs="Times New Roman"/>
                <w:sz w:val="24"/>
              </w:rPr>
            </w:pPr>
            <w:r>
              <w:rPr>
                <w:rFonts w:hint="eastAsia" w:ascii="Times New Roman" w:hAnsi="Times New Roman" w:eastAsia="宋体" w:cs="Times New Roman"/>
                <w:sz w:val="24"/>
              </w:rPr>
              <w:t>高水平</w:t>
            </w:r>
          </w:p>
        </w:tc>
        <w:tc>
          <w:tcPr>
            <w:tcW w:w="1110" w:type="dxa"/>
            <w:tcBorders>
              <w:bottom w:val="single" w:color="000000" w:sz="6" w:space="0"/>
            </w:tcBorders>
            <w:vAlign w:val="center"/>
          </w:tcPr>
          <w:p>
            <w:pPr>
              <w:tabs>
                <w:tab w:val="left" w:pos="636"/>
              </w:tabs>
              <w:jc w:val="center"/>
              <w:rPr>
                <w:rFonts w:ascii="Times New Roman" w:hAnsi="Times New Roman" w:eastAsia="宋体" w:cs="Times New Roman"/>
                <w:sz w:val="24"/>
              </w:rPr>
            </w:pPr>
            <w:r>
              <w:rPr>
                <w:rFonts w:hint="eastAsia" w:ascii="Times New Roman" w:hAnsi="Times New Roman" w:eastAsia="宋体" w:cs="Times New Roman"/>
                <w:sz w:val="24"/>
              </w:rPr>
              <w:t>低水平</w:t>
            </w:r>
          </w:p>
        </w:tc>
        <w:tc>
          <w:tcPr>
            <w:tcW w:w="1114" w:type="dxa"/>
            <w:tcBorders>
              <w:bottom w:val="single" w:color="000000" w:sz="6" w:space="0"/>
            </w:tcBorders>
            <w:vAlign w:val="center"/>
          </w:tcPr>
          <w:p>
            <w:pPr>
              <w:tabs>
                <w:tab w:val="left" w:pos="636"/>
              </w:tabs>
              <w:jc w:val="center"/>
              <w:rPr>
                <w:rFonts w:ascii="Times New Roman" w:hAnsi="Times New Roman" w:eastAsia="宋体" w:cs="Times New Roman"/>
                <w:sz w:val="24"/>
              </w:rPr>
            </w:pPr>
            <w:r>
              <w:rPr>
                <w:rFonts w:hint="eastAsia" w:ascii="Times New Roman" w:hAnsi="Times New Roman" w:eastAsia="宋体" w:cs="Times New Roman"/>
                <w:sz w:val="24"/>
              </w:rPr>
              <w:t>中水平</w:t>
            </w:r>
          </w:p>
        </w:tc>
        <w:tc>
          <w:tcPr>
            <w:tcW w:w="1114" w:type="dxa"/>
            <w:tcBorders>
              <w:bottom w:val="single" w:color="000000" w:sz="6" w:space="0"/>
            </w:tcBorders>
            <w:vAlign w:val="center"/>
          </w:tcPr>
          <w:p>
            <w:pPr>
              <w:tabs>
                <w:tab w:val="left" w:pos="636"/>
              </w:tabs>
              <w:jc w:val="center"/>
              <w:rPr>
                <w:rFonts w:ascii="Times New Roman" w:hAnsi="Times New Roman" w:eastAsia="宋体" w:cs="Times New Roman"/>
                <w:sz w:val="24"/>
              </w:rPr>
            </w:pPr>
            <w:r>
              <w:rPr>
                <w:rFonts w:hint="eastAsia" w:ascii="Times New Roman" w:hAnsi="Times New Roman" w:eastAsia="宋体" w:cs="Times New Roman"/>
                <w:sz w:val="24"/>
              </w:rPr>
              <w:t>高水平</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738" w:type="dxa"/>
            <w:tcBorders>
              <w:top w:val="single" w:color="000000" w:sz="6" w:space="0"/>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1</w:t>
            </w:r>
          </w:p>
        </w:tc>
        <w:tc>
          <w:tcPr>
            <w:tcW w:w="1110" w:type="dxa"/>
            <w:tcBorders>
              <w:top w:val="single" w:color="000000" w:sz="6" w:space="0"/>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0.046</w:t>
            </w:r>
          </w:p>
        </w:tc>
        <w:tc>
          <w:tcPr>
            <w:tcW w:w="1110" w:type="dxa"/>
            <w:tcBorders>
              <w:top w:val="single" w:color="000000" w:sz="6" w:space="0"/>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1.25</w:t>
            </w:r>
          </w:p>
        </w:tc>
        <w:tc>
          <w:tcPr>
            <w:tcW w:w="1110" w:type="dxa"/>
            <w:tcBorders>
              <w:top w:val="single" w:color="000000" w:sz="6" w:space="0"/>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0.68</w:t>
            </w:r>
          </w:p>
        </w:tc>
        <w:tc>
          <w:tcPr>
            <w:tcW w:w="1110" w:type="dxa"/>
            <w:tcBorders>
              <w:top w:val="single" w:color="000000" w:sz="6" w:space="0"/>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0.65</w:t>
            </w:r>
          </w:p>
        </w:tc>
        <w:tc>
          <w:tcPr>
            <w:tcW w:w="1110" w:type="dxa"/>
            <w:tcBorders>
              <w:top w:val="single" w:color="000000" w:sz="6" w:space="0"/>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93.0</w:t>
            </w:r>
          </w:p>
        </w:tc>
        <w:tc>
          <w:tcPr>
            <w:tcW w:w="1114" w:type="dxa"/>
            <w:tcBorders>
              <w:top w:val="single" w:color="000000" w:sz="6" w:space="0"/>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97.7</w:t>
            </w:r>
          </w:p>
        </w:tc>
        <w:tc>
          <w:tcPr>
            <w:tcW w:w="1114" w:type="dxa"/>
            <w:tcBorders>
              <w:top w:val="single" w:color="000000" w:sz="6" w:space="0"/>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98.8</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738"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2</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0.047</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1.55</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0.92</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0.76</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94.0</w:t>
            </w:r>
          </w:p>
        </w:tc>
        <w:tc>
          <w:tcPr>
            <w:tcW w:w="1114"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98.0</w:t>
            </w:r>
          </w:p>
        </w:tc>
        <w:tc>
          <w:tcPr>
            <w:tcW w:w="1114"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99.0</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738"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3</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0.049</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0.19</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0.57</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0.41</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94.7</w:t>
            </w:r>
          </w:p>
        </w:tc>
        <w:tc>
          <w:tcPr>
            <w:tcW w:w="1114"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97.6</w:t>
            </w:r>
          </w:p>
        </w:tc>
        <w:tc>
          <w:tcPr>
            <w:tcW w:w="1114"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99.2</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738"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4</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0.046</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1.46</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0.35</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0.42</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94.6</w:t>
            </w:r>
          </w:p>
        </w:tc>
        <w:tc>
          <w:tcPr>
            <w:tcW w:w="1114"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98.2</w:t>
            </w:r>
          </w:p>
        </w:tc>
        <w:tc>
          <w:tcPr>
            <w:tcW w:w="1114"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99.5</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738"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5</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0.052</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2.41</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0.48</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0.31</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91.3</w:t>
            </w:r>
          </w:p>
        </w:tc>
        <w:tc>
          <w:tcPr>
            <w:tcW w:w="1114"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96.8</w:t>
            </w:r>
          </w:p>
        </w:tc>
        <w:tc>
          <w:tcPr>
            <w:tcW w:w="1114"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98.8</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738"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6</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0.051</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1.38</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0.29</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0.23</w:t>
            </w:r>
          </w:p>
        </w:tc>
        <w:tc>
          <w:tcPr>
            <w:tcW w:w="1110"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91.8</w:t>
            </w:r>
          </w:p>
        </w:tc>
        <w:tc>
          <w:tcPr>
            <w:tcW w:w="1114"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95.8</w:t>
            </w:r>
          </w:p>
        </w:tc>
        <w:tc>
          <w:tcPr>
            <w:tcW w:w="1114" w:type="dxa"/>
            <w:tcBorders>
              <w:tl2br w:val="nil"/>
              <w:tr2bl w:val="nil"/>
            </w:tcBorders>
          </w:tcPr>
          <w:p>
            <w:pPr>
              <w:tabs>
                <w:tab w:val="left" w:pos="636"/>
              </w:tabs>
              <w:jc w:val="center"/>
              <w:rPr>
                <w:rFonts w:ascii="Times New Roman" w:hAnsi="Times New Roman" w:eastAsia="宋体" w:cs="Times New Roman"/>
                <w:sz w:val="24"/>
              </w:rPr>
            </w:pPr>
            <w:r>
              <w:rPr>
                <w:rFonts w:ascii="Times New Roman" w:hAnsi="Times New Roman" w:eastAsia="宋体" w:cs="Times New Roman"/>
                <w:sz w:val="24"/>
              </w:rPr>
              <w:t>98.9</w:t>
            </w:r>
          </w:p>
        </w:tc>
      </w:tr>
    </w:tbl>
    <w:p>
      <w:pPr>
        <w:numPr>
          <w:ilvl w:val="0"/>
          <w:numId w:val="0"/>
        </w:numPr>
        <w:tabs>
          <w:tab w:val="left" w:pos="636"/>
        </w:tabs>
        <w:spacing w:line="360" w:lineRule="auto"/>
        <w:rPr>
          <w:rFonts w:ascii="黑体" w:hAnsi="黑体" w:eastAsia="黑体" w:cs="黑体"/>
          <w:sz w:val="28"/>
          <w:szCs w:val="28"/>
        </w:rPr>
      </w:pPr>
    </w:p>
    <w:p>
      <w:pPr>
        <w:numPr>
          <w:ilvl w:val="0"/>
          <w:numId w:val="2"/>
        </w:numPr>
        <w:tabs>
          <w:tab w:val="left" w:pos="636"/>
        </w:tabs>
        <w:spacing w:line="360" w:lineRule="auto"/>
        <w:rPr>
          <w:rFonts w:ascii="黑体" w:hAnsi="黑体" w:eastAsia="黑体" w:cs="黑体"/>
          <w:sz w:val="28"/>
          <w:szCs w:val="28"/>
        </w:rPr>
      </w:pPr>
      <w:r>
        <w:rPr>
          <w:rFonts w:hint="eastAsia" w:ascii="黑体" w:hAnsi="黑体" w:eastAsia="黑体" w:cs="黑体"/>
          <w:sz w:val="28"/>
          <w:szCs w:val="28"/>
        </w:rPr>
        <w:t>标准实施建议</w:t>
      </w:r>
    </w:p>
    <w:p>
      <w:pPr>
        <w:tabs>
          <w:tab w:val="left" w:pos="636"/>
        </w:tabs>
        <w:spacing w:line="360" w:lineRule="auto"/>
        <w:ind w:firstLine="480" w:firstLineChars="200"/>
        <w:rPr>
          <w:rFonts w:hint="eastAsia" w:ascii="宋体" w:hAnsi="宋体" w:eastAsia="宋体" w:cs="宋体"/>
          <w:sz w:val="24"/>
        </w:rPr>
      </w:pPr>
      <w:r>
        <w:rPr>
          <w:rFonts w:ascii="宋体" w:hAnsi="宋体" w:eastAsia="宋体" w:cs="宋体"/>
          <w:sz w:val="24"/>
        </w:rPr>
        <w:t>希望本标准审批通过后，尽快作为团体标准发布、实施，并进行相应的宣贯培训工作， 推动标准的快速推广</w:t>
      </w:r>
      <w:r>
        <w:rPr>
          <w:rFonts w:hint="eastAsia" w:ascii="宋体" w:hAnsi="宋体" w:eastAsia="宋体" w:cs="宋体"/>
          <w:sz w:val="24"/>
        </w:rPr>
        <w:t>。</w:t>
      </w:r>
    </w:p>
    <w:p>
      <w:pPr>
        <w:tabs>
          <w:tab w:val="left" w:pos="636"/>
        </w:tabs>
        <w:spacing w:line="360" w:lineRule="auto"/>
        <w:ind w:firstLine="480" w:firstLineChars="200"/>
        <w:rPr>
          <w:rFonts w:hint="eastAsia" w:ascii="宋体" w:hAnsi="宋体" w:eastAsia="宋体" w:cs="宋体"/>
          <w:sz w:val="24"/>
        </w:rPr>
      </w:pPr>
    </w:p>
    <w:p>
      <w:pPr>
        <w:numPr>
          <w:ilvl w:val="0"/>
          <w:numId w:val="2"/>
        </w:numPr>
        <w:tabs>
          <w:tab w:val="left" w:pos="636"/>
        </w:tabs>
        <w:spacing w:line="360" w:lineRule="auto"/>
        <w:rPr>
          <w:rFonts w:ascii="黑体" w:hAnsi="黑体" w:eastAsia="黑体" w:cs="黑体"/>
          <w:sz w:val="28"/>
          <w:szCs w:val="28"/>
        </w:rPr>
      </w:pPr>
      <w:r>
        <w:rPr>
          <w:rFonts w:ascii="黑体" w:hAnsi="黑体" w:eastAsia="黑体" w:cs="黑体"/>
          <w:sz w:val="28"/>
          <w:szCs w:val="28"/>
        </w:rPr>
        <w:t>标准知识产权说明</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无</w:t>
      </w:r>
      <w:r>
        <w:rPr>
          <w:rFonts w:hint="eastAsia" w:ascii="Times New Roman" w:hAnsi="Times New Roman" w:cs="Times New Roman" w:eastAsiaTheme="majorEastAsia"/>
          <w:bCs/>
          <w:color w:val="000000" w:themeColor="text1"/>
          <w:sz w:val="24"/>
          <w14:textFill>
            <w14:solidFill>
              <w14:schemeClr w14:val="tx1"/>
            </w14:solidFill>
          </w14:textFill>
        </w:rPr>
        <w:t>。</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p>
    <w:p>
      <w:pPr>
        <w:numPr>
          <w:ilvl w:val="0"/>
          <w:numId w:val="2"/>
        </w:numPr>
        <w:tabs>
          <w:tab w:val="left" w:pos="636"/>
        </w:tabs>
        <w:spacing w:line="360" w:lineRule="auto"/>
        <w:rPr>
          <w:rFonts w:ascii="黑体" w:hAnsi="黑体" w:eastAsia="黑体" w:cs="黑体"/>
          <w:sz w:val="28"/>
          <w:szCs w:val="28"/>
        </w:rPr>
      </w:pPr>
      <w:r>
        <w:rPr>
          <w:rFonts w:ascii="黑体" w:hAnsi="黑体" w:eastAsia="黑体" w:cs="黑体"/>
          <w:sz w:val="28"/>
          <w:szCs w:val="28"/>
        </w:rPr>
        <w:t>重大意见分歧处理</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无</w:t>
      </w:r>
      <w:r>
        <w:rPr>
          <w:rFonts w:hint="eastAsia" w:ascii="Times New Roman" w:hAnsi="Times New Roman" w:cs="Times New Roman" w:eastAsiaTheme="majorEastAsia"/>
          <w:bCs/>
          <w:color w:val="000000" w:themeColor="text1"/>
          <w:sz w:val="24"/>
          <w14:textFill>
            <w14:solidFill>
              <w14:schemeClr w14:val="tx1"/>
            </w14:solidFill>
          </w14:textFill>
        </w:rPr>
        <w:t>。</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p>
    <w:p>
      <w:pPr>
        <w:numPr>
          <w:ilvl w:val="0"/>
          <w:numId w:val="2"/>
        </w:numPr>
        <w:tabs>
          <w:tab w:val="left" w:pos="636"/>
        </w:tabs>
        <w:spacing w:line="360" w:lineRule="auto"/>
        <w:rPr>
          <w:rFonts w:ascii="黑体" w:hAnsi="黑体" w:eastAsia="黑体" w:cs="黑体"/>
          <w:sz w:val="28"/>
          <w:szCs w:val="28"/>
        </w:rPr>
      </w:pPr>
      <w:r>
        <w:rPr>
          <w:rFonts w:ascii="黑体" w:hAnsi="黑体" w:eastAsia="黑体" w:cs="黑体"/>
          <w:sz w:val="28"/>
          <w:szCs w:val="28"/>
        </w:rPr>
        <w:t>其他应予说明的事项</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无</w:t>
      </w:r>
      <w:r>
        <w:rPr>
          <w:rFonts w:hint="eastAsia" w:ascii="Times New Roman" w:hAnsi="Times New Roman" w:cs="Times New Roman" w:eastAsiaTheme="majorEastAsia"/>
          <w:bCs/>
          <w:color w:val="000000" w:themeColor="text1"/>
          <w:sz w:val="24"/>
          <w14:textFill>
            <w14:solidFill>
              <w14:schemeClr w14:val="tx1"/>
            </w14:solidFill>
          </w14:textFill>
        </w:rPr>
        <w:t>。</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p>
    <w:p>
      <w:pPr>
        <w:numPr>
          <w:ilvl w:val="0"/>
          <w:numId w:val="2"/>
        </w:numPr>
        <w:tabs>
          <w:tab w:val="left" w:pos="636"/>
        </w:tabs>
        <w:spacing w:line="360" w:lineRule="auto"/>
        <w:rPr>
          <w:rFonts w:ascii="黑体" w:hAnsi="黑体" w:eastAsia="黑体" w:cs="黑体"/>
          <w:sz w:val="28"/>
          <w:szCs w:val="28"/>
        </w:rPr>
      </w:pPr>
      <w:r>
        <w:rPr>
          <w:rFonts w:ascii="黑体" w:hAnsi="黑体" w:eastAsia="黑体" w:cs="黑体"/>
          <w:sz w:val="28"/>
          <w:szCs w:val="28"/>
        </w:rPr>
        <w:t>与有关的现行法律、法规和强制性国家标准的关系</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r>
        <w:rPr>
          <w:rFonts w:ascii="Times New Roman" w:hAnsi="Times New Roman" w:cs="Times New Roman" w:eastAsiaTheme="majorEastAsia"/>
          <w:bCs/>
          <w:color w:val="000000" w:themeColor="text1"/>
          <w:sz w:val="24"/>
          <w14:textFill>
            <w14:solidFill>
              <w14:schemeClr w14:val="tx1"/>
            </w14:solidFill>
          </w14:textFill>
        </w:rPr>
        <w:t>本标准所涉及的引用标准均为本行业现行有效的国家标准及行业标准。与相关法律、法规、规章及相关标准协调一致，没有冲突。</w:t>
      </w:r>
    </w:p>
    <w:p>
      <w:pPr>
        <w:spacing w:line="440" w:lineRule="exact"/>
        <w:ind w:firstLine="480" w:firstLineChars="200"/>
        <w:jc w:val="left"/>
        <w:rPr>
          <w:rFonts w:ascii="Times New Roman" w:hAnsi="Times New Roman" w:cs="Times New Roman" w:eastAsiaTheme="majorEastAsia"/>
          <w:bCs/>
          <w:color w:val="000000" w:themeColor="text1"/>
          <w:sz w:val="24"/>
          <w14:textFill>
            <w14:solidFill>
              <w14:schemeClr w14:val="tx1"/>
            </w14:solidFill>
          </w14:textFill>
        </w:rPr>
      </w:pPr>
    </w:p>
    <w:p>
      <w:pPr>
        <w:numPr>
          <w:ilvl w:val="0"/>
          <w:numId w:val="2"/>
        </w:numPr>
        <w:tabs>
          <w:tab w:val="left" w:pos="636"/>
        </w:tabs>
        <w:spacing w:line="360" w:lineRule="auto"/>
        <w:rPr>
          <w:rFonts w:ascii="黑体" w:hAnsi="黑体" w:eastAsia="黑体" w:cs="黑体"/>
          <w:sz w:val="28"/>
          <w:szCs w:val="28"/>
        </w:rPr>
      </w:pPr>
      <w:r>
        <w:rPr>
          <w:rFonts w:hint="eastAsia" w:ascii="黑体" w:hAnsi="黑体" w:eastAsia="黑体" w:cs="黑体"/>
          <w:sz w:val="28"/>
          <w:szCs w:val="28"/>
        </w:rPr>
        <w:t>参考文献</w:t>
      </w:r>
    </w:p>
    <w:p>
      <w:pPr>
        <w:widowControl/>
        <w:spacing w:line="400" w:lineRule="exact"/>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[1]朱鹏春等.铜冶炼转炉工艺集成技术研究与应用[J].世界有色金属</w:t>
      </w:r>
      <w:r>
        <w:rPr>
          <w:rFonts w:hint="eastAsia" w:ascii="Times New Roman" w:hAnsi="Times New Roman" w:eastAsia="宋体" w:cs="Times New Roman"/>
          <w:color w:val="000000"/>
          <w:kern w:val="0"/>
          <w:sz w:val="24"/>
          <w:lang w:bidi="ar"/>
        </w:rPr>
        <w:t>,</w:t>
      </w:r>
      <w:r>
        <w:rPr>
          <w:rFonts w:ascii="Times New Roman" w:hAnsi="Times New Roman" w:eastAsia="宋体" w:cs="Times New Roman"/>
          <w:color w:val="000000"/>
          <w:kern w:val="0"/>
          <w:sz w:val="24"/>
          <w:lang w:bidi="ar"/>
        </w:rPr>
        <w:t>2021,(22):10-13.</w:t>
      </w:r>
    </w:p>
    <w:p>
      <w:pPr>
        <w:widowControl/>
        <w:spacing w:line="400" w:lineRule="exact"/>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[2]黄燕海等.影响粗铜质量的几大因素的研究[J].湖南有色金属,2017,(3):37-41.</w:t>
      </w:r>
    </w:p>
    <w:p>
      <w:pPr>
        <w:widowControl/>
        <w:spacing w:line="400" w:lineRule="exact"/>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[3]苏鸿英.全球粗铜和阳极铜市场[J].资源再生,2015,(5):56-68.</w:t>
      </w:r>
    </w:p>
    <w:p>
      <w:pPr>
        <w:widowControl/>
        <w:spacing w:line="400" w:lineRule="exact"/>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[4]姜莉莉,朱明伟,韩晓.粗铜样品代表性对贸易结算的影响[J].质量与认证,2022,(1):80-81.</w:t>
      </w:r>
    </w:p>
    <w:p>
      <w:pPr>
        <w:widowControl/>
        <w:spacing w:line="400" w:lineRule="exact"/>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[5]中华人民共和国工业和信息化部.粗铜化学分析方法 第2部分</w:t>
      </w:r>
      <w:r>
        <w:rPr>
          <w:rFonts w:hint="eastAsia" w:ascii="Times New Roman" w:hAnsi="Times New Roman" w:eastAsia="宋体" w:cs="Times New Roman"/>
          <w:color w:val="000000"/>
          <w:kern w:val="0"/>
          <w:sz w:val="24"/>
          <w:lang w:bidi="ar"/>
        </w:rPr>
        <w:t>：</w:t>
      </w:r>
      <w:r>
        <w:rPr>
          <w:rFonts w:ascii="Times New Roman" w:hAnsi="Times New Roman" w:eastAsia="宋体" w:cs="Times New Roman"/>
          <w:color w:val="000000"/>
          <w:kern w:val="0"/>
          <w:sz w:val="24"/>
          <w:lang w:bidi="ar"/>
        </w:rPr>
        <w:t>金和银含量的测定 干湿火试金法和直接火试金法</w:t>
      </w:r>
      <w:r>
        <w:rPr>
          <w:rFonts w:hint="eastAsia" w:ascii="Times New Roman" w:hAnsi="Times New Roman" w:eastAsia="宋体" w:cs="Times New Roman"/>
          <w:color w:val="000000"/>
          <w:kern w:val="0"/>
          <w:sz w:val="24"/>
          <w:lang w:bidi="ar"/>
        </w:rPr>
        <w:t>：</w:t>
      </w:r>
      <w:r>
        <w:rPr>
          <w:rFonts w:ascii="Times New Roman" w:hAnsi="Times New Roman" w:eastAsia="宋体" w:cs="Times New Roman"/>
          <w:color w:val="000000"/>
          <w:kern w:val="0"/>
          <w:sz w:val="24"/>
          <w:lang w:bidi="ar"/>
        </w:rPr>
        <w:t>YS/T 521.2</w:t>
      </w:r>
      <w:r>
        <w:rPr>
          <w:rFonts w:hint="eastAsia" w:ascii="宋体" w:hAnsi="宋体" w:eastAsia="宋体" w:cs="宋体"/>
          <w:color w:val="000000"/>
          <w:kern w:val="0"/>
          <w:szCs w:val="21"/>
          <w:shd w:val="clear" w:color="auto" w:fill="FFFFFF"/>
          <w:lang w:bidi="ar"/>
        </w:rPr>
        <w:t>—</w:t>
      </w:r>
      <w:r>
        <w:rPr>
          <w:rFonts w:ascii="Times New Roman" w:hAnsi="Times New Roman" w:eastAsia="宋体" w:cs="Times New Roman"/>
          <w:color w:val="000000"/>
          <w:kern w:val="0"/>
          <w:sz w:val="24"/>
          <w:lang w:bidi="ar"/>
        </w:rPr>
        <w:t>2019[S].北京</w:t>
      </w:r>
      <w:r>
        <w:rPr>
          <w:rFonts w:hint="eastAsia" w:ascii="Times New Roman" w:hAnsi="Times New Roman" w:eastAsia="宋体" w:cs="Times New Roman"/>
          <w:color w:val="000000"/>
          <w:kern w:val="0"/>
          <w:sz w:val="24"/>
          <w:lang w:bidi="ar"/>
        </w:rPr>
        <w:t>：</w:t>
      </w:r>
      <w:r>
        <w:rPr>
          <w:rFonts w:ascii="Times New Roman" w:hAnsi="Times New Roman" w:eastAsia="宋体" w:cs="Times New Roman"/>
          <w:color w:val="000000"/>
          <w:kern w:val="0"/>
          <w:sz w:val="24"/>
          <w:lang w:bidi="ar"/>
        </w:rPr>
        <w:t>中华人民共和国工业和信息化部,2019.</w:t>
      </w:r>
    </w:p>
    <w:p>
      <w:pPr>
        <w:widowControl/>
        <w:spacing w:line="400" w:lineRule="exact"/>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[6]孙轲等.X射线荧光光谱法测定粗铜中主量和次量组分[J].分析测试,2021,6(42):98-101.</w:t>
      </w:r>
    </w:p>
    <w:p>
      <w:pPr>
        <w:widowControl/>
        <w:spacing w:line="400" w:lineRule="exact"/>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[7]孙轲,葛笑寒.X射线荧光光谱法用于粗铜中铜和13种杂质元素的测定[J].冶金分析</w:t>
      </w:r>
      <w:r>
        <w:rPr>
          <w:rFonts w:hint="eastAsia" w:ascii="Times New Roman" w:hAnsi="Times New Roman" w:eastAsia="宋体" w:cs="Times New Roman"/>
          <w:color w:val="000000"/>
          <w:kern w:val="0"/>
          <w:sz w:val="24"/>
          <w:lang w:bidi="ar"/>
        </w:rPr>
        <w:t>,</w:t>
      </w:r>
      <w:r>
        <w:rPr>
          <w:rFonts w:ascii="Times New Roman" w:hAnsi="Times New Roman" w:eastAsia="宋体" w:cs="Times New Roman"/>
          <w:color w:val="000000"/>
          <w:kern w:val="0"/>
          <w:sz w:val="24"/>
          <w:lang w:bidi="ar"/>
        </w:rPr>
        <w:t>2020,40(4):60-64.</w:t>
      </w:r>
    </w:p>
    <w:p>
      <w:pPr>
        <w:widowControl/>
        <w:spacing w:line="400" w:lineRule="exact"/>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[8]皮业华.铅、银对</w:t>
      </w:r>
      <w:r>
        <w:rPr>
          <w:rFonts w:hint="eastAsia" w:ascii="Times New Roman" w:hAnsi="Times New Roman" w:eastAsia="宋体" w:cs="Times New Roman"/>
          <w:color w:val="000000"/>
          <w:kern w:val="0"/>
          <w:sz w:val="24"/>
          <w:lang w:bidi="ar"/>
        </w:rPr>
        <w:t>活性炭</w:t>
      </w:r>
      <w:r>
        <w:rPr>
          <w:rFonts w:ascii="Times New Roman" w:hAnsi="Times New Roman" w:eastAsia="宋体" w:cs="Times New Roman"/>
          <w:color w:val="000000"/>
          <w:kern w:val="0"/>
          <w:sz w:val="24"/>
          <w:lang w:bidi="ar"/>
        </w:rPr>
        <w:t>分离富集</w:t>
      </w:r>
      <w:r>
        <w:rPr>
          <w:rFonts w:hint="eastAsia" w:ascii="Times New Roman" w:hAnsi="Times New Roman" w:eastAsia="宋体" w:cs="Times New Roman"/>
          <w:color w:val="000000"/>
          <w:kern w:val="0"/>
          <w:sz w:val="24"/>
          <w:lang w:bidi="ar"/>
        </w:rPr>
        <w:t>-</w:t>
      </w:r>
      <w:r>
        <w:rPr>
          <w:rFonts w:ascii="Times New Roman" w:hAnsi="Times New Roman" w:eastAsia="宋体" w:cs="Times New Roman"/>
          <w:color w:val="000000"/>
          <w:kern w:val="0"/>
          <w:sz w:val="24"/>
          <w:lang w:bidi="ar"/>
        </w:rPr>
        <w:t>原子吸收法测金的干扰及消除[J].湖北地矿,2001,15(2):27-29.</w:t>
      </w:r>
    </w:p>
    <w:p>
      <w:pPr>
        <w:widowControl/>
        <w:spacing w:line="400" w:lineRule="exact"/>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[9]朱姝等.提高泡塑吸附金能力方法探讨[J].世界核地质科学,2014,31(4):614-617.</w:t>
      </w:r>
    </w:p>
    <w:p>
      <w:pPr>
        <w:widowControl/>
        <w:spacing w:line="400" w:lineRule="exact"/>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[10]张青草.矿物成分对聚氨酯泡沫塑料富集金的影响[J].甘肃冶金,2003,(12):17-19.</w:t>
      </w:r>
    </w:p>
    <w:p>
      <w:pPr>
        <w:widowControl/>
        <w:spacing w:line="400" w:lineRule="exact"/>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w:t>
      </w:r>
      <w:r>
        <w:rPr>
          <w:rFonts w:hint="eastAsia" w:ascii="Times New Roman" w:hAnsi="Times New Roman" w:eastAsia="宋体" w:cs="Times New Roman"/>
          <w:color w:val="000000"/>
          <w:kern w:val="0"/>
          <w:sz w:val="24"/>
          <w:lang w:bidi="ar"/>
        </w:rPr>
        <w:t>11</w:t>
      </w:r>
      <w:r>
        <w:rPr>
          <w:rFonts w:ascii="Times New Roman" w:hAnsi="Times New Roman" w:eastAsia="宋体" w:cs="Times New Roman"/>
          <w:color w:val="000000"/>
          <w:kern w:val="0"/>
          <w:sz w:val="24"/>
          <w:lang w:bidi="ar"/>
        </w:rPr>
        <w:t>]姜玉春等.717型阴离子交换树脂分离富集-萃取光度法测定金精矿和尾矿中金[J].冶金分析,2013,33(8):59-63.</w:t>
      </w:r>
    </w:p>
    <w:p>
      <w:pPr>
        <w:widowControl/>
        <w:spacing w:line="400" w:lineRule="exact"/>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w:t>
      </w:r>
      <w:r>
        <w:rPr>
          <w:rFonts w:hint="eastAsia" w:ascii="Times New Roman" w:hAnsi="Times New Roman" w:eastAsia="宋体" w:cs="Times New Roman"/>
          <w:color w:val="000000"/>
          <w:kern w:val="0"/>
          <w:sz w:val="24"/>
          <w:lang w:bidi="ar"/>
        </w:rPr>
        <w:t>12</w:t>
      </w:r>
      <w:r>
        <w:rPr>
          <w:rFonts w:ascii="Times New Roman" w:hAnsi="Times New Roman" w:eastAsia="宋体" w:cs="Times New Roman"/>
          <w:color w:val="000000"/>
          <w:kern w:val="0"/>
          <w:sz w:val="24"/>
          <w:lang w:bidi="ar"/>
        </w:rPr>
        <w:t>]咎敏娇.离子交换树脂分离富集-分光光度法测定铜尾矿中金含量[J].山西化工，2021,(2):49-51.</w:t>
      </w:r>
    </w:p>
    <w:p>
      <w:pPr>
        <w:widowControl/>
        <w:spacing w:line="400" w:lineRule="exact"/>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w:t>
      </w:r>
      <w:r>
        <w:rPr>
          <w:rFonts w:hint="eastAsia" w:ascii="Times New Roman" w:hAnsi="Times New Roman" w:eastAsia="宋体" w:cs="Times New Roman"/>
          <w:color w:val="000000"/>
          <w:kern w:val="0"/>
          <w:sz w:val="24"/>
          <w:lang w:bidi="ar"/>
        </w:rPr>
        <w:t>13</w:t>
      </w:r>
      <w:r>
        <w:rPr>
          <w:rFonts w:ascii="Times New Roman" w:hAnsi="Times New Roman" w:eastAsia="宋体" w:cs="Times New Roman"/>
          <w:color w:val="000000"/>
          <w:kern w:val="0"/>
          <w:sz w:val="24"/>
          <w:lang w:bidi="ar"/>
        </w:rPr>
        <w:t>]雒虹等.阴离子交换树脂-活性炭动态吸附-电感耦合等离子体发射光谱法测定矿石中的铂、钯、金[J].当代化工,2018,(9):1993-1996.</w:t>
      </w:r>
    </w:p>
    <w:p>
      <w:pPr>
        <w:widowControl/>
        <w:spacing w:line="400" w:lineRule="exact"/>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w:t>
      </w:r>
      <w:r>
        <w:rPr>
          <w:rFonts w:hint="eastAsia" w:ascii="Times New Roman" w:hAnsi="Times New Roman" w:eastAsia="宋体" w:cs="Times New Roman"/>
          <w:color w:val="000000"/>
          <w:kern w:val="0"/>
          <w:sz w:val="24"/>
          <w:lang w:bidi="ar"/>
        </w:rPr>
        <w:t>14</w:t>
      </w:r>
      <w:r>
        <w:rPr>
          <w:rFonts w:ascii="Times New Roman" w:hAnsi="Times New Roman" w:eastAsia="宋体" w:cs="Times New Roman"/>
          <w:color w:val="000000"/>
          <w:kern w:val="0"/>
          <w:sz w:val="24"/>
          <w:lang w:bidi="ar"/>
        </w:rPr>
        <w:t>]周陶鸿,黄健,田琼,等.阴离子交换固相萃取在测定铜矿和粗铜中金的应用[J].冶金分析,2010,30(08):66-69.</w:t>
      </w:r>
    </w:p>
    <w:p>
      <w:pPr>
        <w:widowControl/>
        <w:spacing w:line="400" w:lineRule="exact"/>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w:t>
      </w:r>
      <w:r>
        <w:rPr>
          <w:rFonts w:hint="eastAsia" w:ascii="Times New Roman" w:hAnsi="Times New Roman" w:eastAsia="宋体" w:cs="Times New Roman"/>
          <w:color w:val="000000"/>
          <w:kern w:val="0"/>
          <w:sz w:val="24"/>
          <w:lang w:bidi="ar"/>
        </w:rPr>
        <w:t>15</w:t>
      </w:r>
      <w:r>
        <w:rPr>
          <w:rFonts w:ascii="Times New Roman" w:hAnsi="Times New Roman" w:eastAsia="宋体" w:cs="Times New Roman"/>
          <w:color w:val="000000"/>
          <w:kern w:val="0"/>
          <w:sz w:val="24"/>
          <w:lang w:bidi="ar"/>
        </w:rPr>
        <w:t>]中华人民共和国国家质量监督检验检疫总局和中国国家标准化管理委员会.合格评定 化学分析方法确认和验证指南:GB/T 27417</w:t>
      </w:r>
      <w:r>
        <w:rPr>
          <w:rFonts w:hint="eastAsia" w:ascii="宋体" w:hAnsi="宋体" w:eastAsia="宋体" w:cs="宋体"/>
          <w:color w:val="000000"/>
          <w:kern w:val="0"/>
          <w:szCs w:val="21"/>
          <w:shd w:val="clear" w:color="auto" w:fill="FFFFFF"/>
          <w:lang w:bidi="ar"/>
        </w:rPr>
        <w:t>—</w:t>
      </w:r>
      <w:r>
        <w:rPr>
          <w:rFonts w:ascii="Times New Roman" w:hAnsi="Times New Roman" w:eastAsia="宋体" w:cs="Times New Roman"/>
          <w:color w:val="000000"/>
          <w:kern w:val="0"/>
          <w:sz w:val="24"/>
          <w:lang w:bidi="ar"/>
        </w:rPr>
        <w:t>2017[S].北京:中华人民共和国国家质量监督检验检疫总局和中国国家标准化管理委员会,2017.</w:t>
      </w:r>
    </w:p>
    <w:p>
      <w:pPr>
        <w:spacing w:line="440" w:lineRule="exact"/>
        <w:jc w:val="left"/>
        <w:rPr>
          <w:rFonts w:ascii="Times New Roman" w:hAnsi="Times New Roman" w:cs="Times New Roman" w:eastAsiaTheme="majorEastAsia"/>
          <w:bCs/>
          <w:color w:val="000000" w:themeColor="text1"/>
          <w:sz w:val="24"/>
          <w14:textFill>
            <w14:solidFill>
              <w14:schemeClr w14:val="tx1"/>
            </w14:solidFill>
          </w14:textFill>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18</w:t>
                          </w:r>
                          <w:r>
                            <w:fldChar w:fldCharType="end"/>
                          </w:r>
                          <w:r>
                            <w:t xml:space="preserve"> / </w:t>
                          </w:r>
                          <w:r>
                            <w:fldChar w:fldCharType="begin"/>
                          </w:r>
                          <w:r>
                            <w:instrText xml:space="preserve"> NUMPAGES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18</w:t>
                    </w:r>
                    <w:r>
                      <w:fldChar w:fldCharType="end"/>
                    </w:r>
                    <w:r>
                      <w:t xml:space="preserve"> / </w:t>
                    </w:r>
                    <w:r>
                      <w:fldChar w:fldCharType="begin"/>
                    </w:r>
                    <w:r>
                      <w:instrText xml:space="preserve"> NUMPAGES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0216EB"/>
    <w:multiLevelType w:val="multilevel"/>
    <w:tmpl w:val="330216EB"/>
    <w:lvl w:ilvl="0" w:tentative="0">
      <w:start w:val="1"/>
      <w:numFmt w:val="decimal"/>
      <w:lvlText w:val="第%1章"/>
      <w:lvlJc w:val="left"/>
      <w:pPr>
        <w:tabs>
          <w:tab w:val="left" w:pos="947"/>
        </w:tabs>
        <w:ind w:left="170" w:hanging="170"/>
      </w:pPr>
      <w:rPr>
        <w:rFonts w:hint="eastAsia"/>
      </w:rPr>
    </w:lvl>
    <w:lvl w:ilvl="1" w:tentative="0">
      <w:start w:val="1"/>
      <w:numFmt w:val="decimal"/>
      <w:pStyle w:val="2"/>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color w:val="auto"/>
      </w:rPr>
    </w:lvl>
    <w:lvl w:ilvl="3" w:tentative="0">
      <w:start w:val="1"/>
      <w:numFmt w:val="decimal"/>
      <w:lvlText w:val="%1.%2.%3.%4"/>
      <w:lvlJc w:val="left"/>
      <w:pPr>
        <w:tabs>
          <w:tab w:val="left" w:pos="850"/>
        </w:tabs>
        <w:ind w:left="850" w:hanging="850"/>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7"/>
        </w:tabs>
        <w:ind w:left="1417" w:hanging="1417"/>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65677250"/>
    <w:multiLevelType w:val="singleLevel"/>
    <w:tmpl w:val="6567725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ZWEyZjk4NmQ2YzhiNDAyZDNiMTI0ODM1ZWZmNDEifQ=="/>
  </w:docVars>
  <w:rsids>
    <w:rsidRoot w:val="00B410AB"/>
    <w:rsid w:val="00006CA7"/>
    <w:rsid w:val="00175F1C"/>
    <w:rsid w:val="00361DAB"/>
    <w:rsid w:val="003D3045"/>
    <w:rsid w:val="00576865"/>
    <w:rsid w:val="0059078C"/>
    <w:rsid w:val="00595D9D"/>
    <w:rsid w:val="005E3C45"/>
    <w:rsid w:val="005F427E"/>
    <w:rsid w:val="00616DF1"/>
    <w:rsid w:val="006A1D51"/>
    <w:rsid w:val="007021DC"/>
    <w:rsid w:val="007C4B44"/>
    <w:rsid w:val="00875BFD"/>
    <w:rsid w:val="008A47CA"/>
    <w:rsid w:val="009E2097"/>
    <w:rsid w:val="00B410AB"/>
    <w:rsid w:val="00DD6492"/>
    <w:rsid w:val="00E23C19"/>
    <w:rsid w:val="00E26172"/>
    <w:rsid w:val="00EA0C45"/>
    <w:rsid w:val="00EA452A"/>
    <w:rsid w:val="00EC6DA0"/>
    <w:rsid w:val="058E5C0B"/>
    <w:rsid w:val="0BE34909"/>
    <w:rsid w:val="0CA2394C"/>
    <w:rsid w:val="10BE5E8C"/>
    <w:rsid w:val="14E9100D"/>
    <w:rsid w:val="15EC0B3A"/>
    <w:rsid w:val="17D9586B"/>
    <w:rsid w:val="19694B00"/>
    <w:rsid w:val="19AD665C"/>
    <w:rsid w:val="2050165D"/>
    <w:rsid w:val="23A04440"/>
    <w:rsid w:val="23C96A6E"/>
    <w:rsid w:val="24EA080D"/>
    <w:rsid w:val="268F1E3D"/>
    <w:rsid w:val="2FA34AEA"/>
    <w:rsid w:val="337013C1"/>
    <w:rsid w:val="382B7916"/>
    <w:rsid w:val="3A012EA1"/>
    <w:rsid w:val="3D2841BE"/>
    <w:rsid w:val="3EA42932"/>
    <w:rsid w:val="3F521832"/>
    <w:rsid w:val="41405333"/>
    <w:rsid w:val="42911C96"/>
    <w:rsid w:val="47EE4FDC"/>
    <w:rsid w:val="4CB8734C"/>
    <w:rsid w:val="4E65195F"/>
    <w:rsid w:val="50567454"/>
    <w:rsid w:val="57BC4D0B"/>
    <w:rsid w:val="59135D16"/>
    <w:rsid w:val="604E4392"/>
    <w:rsid w:val="61DF0041"/>
    <w:rsid w:val="6219175F"/>
    <w:rsid w:val="635D3D43"/>
    <w:rsid w:val="64CD2E6D"/>
    <w:rsid w:val="65012B8B"/>
    <w:rsid w:val="65F22F7C"/>
    <w:rsid w:val="662A1A05"/>
    <w:rsid w:val="666C082B"/>
    <w:rsid w:val="6A930B2D"/>
    <w:rsid w:val="6AC34DDD"/>
    <w:rsid w:val="71A16DED"/>
    <w:rsid w:val="753E3E93"/>
    <w:rsid w:val="75485C5D"/>
    <w:rsid w:val="75881C7D"/>
    <w:rsid w:val="7AAC1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next w:val="1"/>
    <w:qFormat/>
    <w:uiPriority w:val="0"/>
    <w:pPr>
      <w:keepNext/>
      <w:keepLines/>
      <w:widowControl w:val="0"/>
      <w:numPr>
        <w:ilvl w:val="1"/>
        <w:numId w:val="1"/>
      </w:numPr>
      <w:spacing w:before="100" w:beforeLines="100" w:after="100" w:afterLines="100" w:line="440" w:lineRule="exact"/>
      <w:jc w:val="both"/>
      <w:outlineLvl w:val="1"/>
    </w:pPr>
    <w:rPr>
      <w:rFonts w:ascii="Times New Roman" w:hAnsi="Times New Roman" w:eastAsia="黑体" w:cs="Times New Roman"/>
      <w:b/>
      <w:bCs/>
      <w:sz w:val="28"/>
      <w:szCs w:val="3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qFormat/>
    <w:uiPriority w:val="0"/>
    <w:pPr>
      <w:widowControl w:val="0"/>
      <w:spacing w:before="100" w:beforeAutospacing="1" w:after="100" w:afterAutospacing="1"/>
    </w:pPr>
    <w:rPr>
      <w:rFonts w:ascii="Times New Roman" w:hAnsi="Times New Roman" w:eastAsia="宋体" w:cs="Times New Roman"/>
      <w:sz w:val="24"/>
      <w:szCs w:val="24"/>
      <w:lang w:val="en-US" w:eastAsia="zh-CN" w:bidi="ar-SA"/>
    </w:rPr>
  </w:style>
  <w:style w:type="table" w:styleId="7">
    <w:name w:val="Table Grid"/>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9">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1.xml"/><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F:\202211&#30740;&#31350;&#29983;&#35770;&#25991;\&#31572;&#36777;&#21442;&#32771;\&#34920;&#266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spPr>
            <a:ln w="19050" cap="rnd">
              <a:solidFill>
                <a:sysClr val="windowText" lastClr="000000"/>
              </a:solidFill>
              <a:round/>
            </a:ln>
            <a:effectLst/>
          </c:spPr>
          <c:marker>
            <c:symbol val="circle"/>
            <c:size val="5"/>
            <c:spPr>
              <a:solidFill>
                <a:sysClr val="windowText" lastClr="000000"/>
              </a:solidFill>
              <a:ln w="9525">
                <a:solidFill>
                  <a:sysClr val="windowText" lastClr="000000"/>
                </a:solidFill>
              </a:ln>
              <a:effectLst/>
            </c:spPr>
          </c:marker>
          <c:dLbls>
            <c:delete val="1"/>
          </c:dLbls>
          <c:errBars>
            <c:errDir val="y"/>
            <c:errBarType val="both"/>
            <c:errValType val="cust"/>
            <c:noEndCap val="0"/>
            <c:plus>
              <c:numRef>
                <c:f>[表格.xlsx]Sheet1!$D$70:$J$70</c:f>
                <c:numCache>
                  <c:formatCode>General</c:formatCode>
                  <c:ptCount val="7"/>
                  <c:pt idx="0">
                    <c:v>0.06</c:v>
                  </c:pt>
                  <c:pt idx="1">
                    <c:v>0.05</c:v>
                  </c:pt>
                  <c:pt idx="2">
                    <c:v>0.03</c:v>
                  </c:pt>
                  <c:pt idx="3">
                    <c:v>0.04</c:v>
                  </c:pt>
                  <c:pt idx="4">
                    <c:v>0.03</c:v>
                  </c:pt>
                  <c:pt idx="5">
                    <c:v>0.04</c:v>
                  </c:pt>
                  <c:pt idx="6">
                    <c:v>0.03</c:v>
                  </c:pt>
                </c:numCache>
              </c:numRef>
            </c:plus>
            <c:minus>
              <c:numRef>
                <c:f>[表格.xlsx]Sheet1!$D$71:$J$71</c:f>
                <c:numCache>
                  <c:formatCode>General</c:formatCode>
                  <c:ptCount val="7"/>
                  <c:pt idx="0">
                    <c:v>0.04</c:v>
                  </c:pt>
                  <c:pt idx="1">
                    <c:v>0.06</c:v>
                  </c:pt>
                  <c:pt idx="2">
                    <c:v>0.04</c:v>
                  </c:pt>
                  <c:pt idx="3">
                    <c:v>0.03</c:v>
                  </c:pt>
                  <c:pt idx="4">
                    <c:v>0.03</c:v>
                  </c:pt>
                  <c:pt idx="5">
                    <c:v>0.03</c:v>
                  </c:pt>
                  <c:pt idx="6">
                    <c:v>0.04</c:v>
                  </c:pt>
                </c:numCache>
              </c:numRef>
            </c:minus>
            <c:spPr>
              <a:noFill/>
              <a:ln w="9525" cap="flat" cmpd="sng" algn="ctr">
                <a:solidFill>
                  <a:sysClr val="windowText" lastClr="000000">
                    <a:lumMod val="65000"/>
                    <a:lumOff val="35000"/>
                  </a:sysClr>
                </a:solidFill>
                <a:round/>
              </a:ln>
              <a:effectLst/>
            </c:spPr>
          </c:errBars>
          <c:xVal>
            <c:numRef>
              <c:f>[表格.xlsx]Sheet1!$D$68:$J$68</c:f>
              <c:numCache>
                <c:formatCode>General</c:formatCode>
                <c:ptCount val="7"/>
                <c:pt idx="0">
                  <c:v>40</c:v>
                </c:pt>
                <c:pt idx="1">
                  <c:v>60</c:v>
                </c:pt>
                <c:pt idx="2">
                  <c:v>80</c:v>
                </c:pt>
                <c:pt idx="3">
                  <c:v>100</c:v>
                </c:pt>
                <c:pt idx="4">
                  <c:v>120</c:v>
                </c:pt>
                <c:pt idx="5">
                  <c:v>140</c:v>
                </c:pt>
                <c:pt idx="6">
                  <c:v>160</c:v>
                </c:pt>
              </c:numCache>
            </c:numRef>
          </c:xVal>
          <c:yVal>
            <c:numRef>
              <c:f>[表格.xlsx]Sheet1!$D$69:$J$69</c:f>
              <c:numCache>
                <c:formatCode>General</c:formatCode>
                <c:ptCount val="7"/>
                <c:pt idx="0">
                  <c:v>1.98</c:v>
                </c:pt>
                <c:pt idx="1">
                  <c:v>2.12</c:v>
                </c:pt>
                <c:pt idx="2">
                  <c:v>2.35</c:v>
                </c:pt>
                <c:pt idx="3">
                  <c:v>2.35</c:v>
                </c:pt>
                <c:pt idx="4">
                  <c:v>2.34</c:v>
                </c:pt>
                <c:pt idx="5">
                  <c:v>2.33</c:v>
                </c:pt>
                <c:pt idx="6">
                  <c:v>2.35</c:v>
                </c:pt>
              </c:numCache>
            </c:numRef>
          </c:yVal>
          <c:smooth val="1"/>
        </c:ser>
        <c:dLbls>
          <c:showLegendKey val="0"/>
          <c:showVal val="0"/>
          <c:showCatName val="0"/>
          <c:showSerName val="0"/>
          <c:showPercent val="0"/>
          <c:showBubbleSize val="0"/>
        </c:dLbls>
        <c:axId val="216572842"/>
        <c:axId val="621483511"/>
      </c:scatterChart>
      <c:valAx>
        <c:axId val="216572842"/>
        <c:scaling>
          <c:orientation val="minMax"/>
          <c:max val="170"/>
          <c:min val="30"/>
        </c:scaling>
        <c:delete val="0"/>
        <c:axPos val="b"/>
        <c:majorGridlines>
          <c:spPr>
            <a:ln w="9525" cap="flat" cmpd="sng" algn="ctr">
              <a:solidFill>
                <a:sysClr val="windowText" lastClr="000000">
                  <a:lumMod val="15000"/>
                  <a:lumOff val="85000"/>
                </a:sys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r>
                  <a:rPr lang="zh-CN" altLang="en-US"/>
                  <a:t>王水加入体积（</a:t>
                </a:r>
                <a:r>
                  <a:rPr lang="en-US" altLang="zh-CN"/>
                  <a:t>mL</a:t>
                </a:r>
                <a:r>
                  <a:rPr lang="en-US"/>
                  <a:t>）</a:t>
                </a:r>
                <a:endParaRPr lang="en-US"/>
              </a:p>
            </c:rich>
          </c:tx>
          <c:layout/>
          <c:overlay val="0"/>
          <c:spPr>
            <a:noFill/>
            <a:ln>
              <a:noFill/>
            </a:ln>
            <a:effectLst/>
          </c:spPr>
        </c:title>
        <c:numFmt formatCode="General"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621483511"/>
        <c:crosses val="autoZero"/>
        <c:crossBetween val="midCat"/>
      </c:valAx>
      <c:valAx>
        <c:axId val="621483511"/>
        <c:scaling>
          <c:orientation val="minMax"/>
          <c:max val="2.7"/>
          <c:min val="1.7"/>
        </c:scaling>
        <c:delete val="0"/>
        <c:axPos val="l"/>
        <c:majorGridlines>
          <c:spPr>
            <a:ln w="9525" cap="flat" cmpd="sng" algn="ctr">
              <a:solidFill>
                <a:sysClr val="windowText" lastClr="000000">
                  <a:lumMod val="15000"/>
                  <a:lumOff val="85000"/>
                </a:sys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r>
                  <a:rPr lang="zh-CN" altLang="en-US"/>
                  <a:t>金含量（</a:t>
                </a:r>
                <a:r>
                  <a:rPr lang="en-US"/>
                  <a:t>g/t）</a:t>
                </a:r>
                <a:endParaRPr lang="en-US"/>
              </a:p>
            </c:rich>
          </c:tx>
          <c:layout/>
          <c:overlay val="0"/>
          <c:spPr>
            <a:noFill/>
            <a:ln>
              <a:noFill/>
            </a:ln>
            <a:effectLst/>
          </c:spPr>
        </c:title>
        <c:numFmt formatCode="General"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216572842"/>
        <c:crosses val="autoZero"/>
        <c:crossBetween val="midCat"/>
      </c:valAx>
      <c:spPr>
        <a:noFill/>
        <a:ln>
          <a:noFill/>
        </a:ln>
        <a:effectLst/>
      </c:spPr>
    </c:plotArea>
    <c:plotVisOnly val="1"/>
    <c:dispBlanksAs val="gap"/>
    <c:showDLblsOverMax val="0"/>
  </c:chart>
  <c:spPr>
    <a:solidFill>
      <a:sysClr val="window" lastClr="FFFFFF"/>
    </a:solidFill>
    <a:ln w="9525" cap="flat" cmpd="sng" algn="ctr">
      <a:no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19050"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10420</Words>
  <Characters>12590</Characters>
  <Lines>96</Lines>
  <Paragraphs>27</Paragraphs>
  <TotalTime>0</TotalTime>
  <ScaleCrop>false</ScaleCrop>
  <LinksUpToDate>false</LinksUpToDate>
  <CharactersWithSpaces>12998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2023-06-24T03:17:00Z</dcterms:created>
  <dc:creator>Bill</dc:creator>
  <cp:lastModifiedBy>天平联盟</cp:lastModifiedBy>
  <dcterms:modified xsi:type="dcterms:W3CDTF">2023-06-30T01:32:55Z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67D35C11359046A89C0B7B94BC06F947_12</vt:lpwstr>
  </property>
</Properties>
</file>